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5A49" w:rsidRDefault="00015A49" w:rsidP="000524CC">
      <w:pPr>
        <w:pStyle w:val="Heading1"/>
        <w:jc w:val="left"/>
      </w:pPr>
    </w:p>
    <w:p w:rsidR="00015A49" w:rsidRDefault="00015A49" w:rsidP="000524CC">
      <w:pPr>
        <w:pStyle w:val="Heading1"/>
        <w:jc w:val="left"/>
      </w:pPr>
    </w:p>
    <w:p w:rsidR="00015A49" w:rsidRDefault="00015A49" w:rsidP="000524CC">
      <w:pPr>
        <w:pStyle w:val="Heading1"/>
        <w:jc w:val="left"/>
      </w:pPr>
    </w:p>
    <w:p w:rsidR="00015A49" w:rsidRDefault="00015A49" w:rsidP="000524CC">
      <w:pPr>
        <w:pStyle w:val="Heading1"/>
        <w:jc w:val="left"/>
      </w:pPr>
    </w:p>
    <w:p w:rsidR="00015A49" w:rsidRDefault="00015A49" w:rsidP="000524CC">
      <w:pPr>
        <w:pStyle w:val="Heading1"/>
        <w:jc w:val="left"/>
      </w:pPr>
    </w:p>
    <w:p w:rsidR="000524CC" w:rsidRDefault="000524CC" w:rsidP="000524CC">
      <w:pPr>
        <w:pStyle w:val="Heading1"/>
        <w:jc w:val="left"/>
      </w:pPr>
      <w:r>
        <w:t>Notice of Entry for Petroleum Exploration Activities Template</w:t>
      </w:r>
    </w:p>
    <w:p w:rsidR="000524CC" w:rsidRDefault="000524CC" w:rsidP="000524CC">
      <w:pPr>
        <w:pStyle w:val="Heading1"/>
        <w:jc w:val="both"/>
        <w:rPr>
          <w:b w:val="0"/>
        </w:rPr>
      </w:pPr>
    </w:p>
    <w:p w:rsidR="000524CC" w:rsidRPr="005458FC" w:rsidRDefault="000524CC" w:rsidP="000524CC">
      <w:pPr>
        <w:tabs>
          <w:tab w:val="left" w:pos="-720"/>
        </w:tabs>
        <w:suppressAutoHyphens/>
        <w:jc w:val="both"/>
      </w:pPr>
      <w:r>
        <w:t xml:space="preserve">The Energy Resources Division has created a template for the initial Notice of Entry for Petroleum Exploration Activities. It </w:t>
      </w:r>
      <w:proofErr w:type="gramStart"/>
      <w:r>
        <w:t>is primarily aimed</w:t>
      </w:r>
      <w:proofErr w:type="gramEnd"/>
      <w:r>
        <w:t xml:space="preserve"> at providin</w:t>
      </w:r>
      <w:r w:rsidR="009F3BEB">
        <w:t>g the Department of Environment and</w:t>
      </w:r>
      <w:r>
        <w:t xml:space="preserve"> Water with appropriate notification for reconnaissance surveys and for Work Area Clearance activities, for native title or heritage </w:t>
      </w:r>
      <w:r w:rsidRPr="005458FC">
        <w:t xml:space="preserve">purposes and environmental survey, within regional reserves. Whilst these activities are low environmental impact, they are still regulated activities under the </w:t>
      </w:r>
      <w:r w:rsidRPr="005458FC">
        <w:rPr>
          <w:i/>
        </w:rPr>
        <w:t>Petroleum</w:t>
      </w:r>
      <w:r>
        <w:rPr>
          <w:i/>
        </w:rPr>
        <w:t xml:space="preserve"> and Geothermal Energy </w:t>
      </w:r>
      <w:r w:rsidRPr="005458FC">
        <w:rPr>
          <w:i/>
        </w:rPr>
        <w:t>Act 2000</w:t>
      </w:r>
      <w:r w:rsidRPr="005458FC">
        <w:t xml:space="preserve">, and as such are subject to notice of entry requirements under Part 10 of the Act. </w:t>
      </w:r>
    </w:p>
    <w:p w:rsidR="000524CC" w:rsidRPr="005458FC" w:rsidRDefault="000524CC" w:rsidP="000524CC">
      <w:pPr>
        <w:tabs>
          <w:tab w:val="left" w:pos="-720"/>
        </w:tabs>
        <w:suppressAutoHyphens/>
        <w:jc w:val="both"/>
      </w:pPr>
    </w:p>
    <w:p w:rsidR="000524CC" w:rsidRDefault="000524CC" w:rsidP="000524CC">
      <w:pPr>
        <w:tabs>
          <w:tab w:val="left" w:pos="-720"/>
        </w:tabs>
        <w:suppressAutoHyphens/>
        <w:jc w:val="both"/>
      </w:pPr>
      <w:r w:rsidRPr="005458FC">
        <w:t>The attached template is designed</w:t>
      </w:r>
      <w:r>
        <w:t xml:space="preserve"> to serve as a guide to the information that should be contained within the initial Notice of Entry document. This template has been created by Energy Resources </w:t>
      </w:r>
      <w:proofErr w:type="gramStart"/>
      <w:r>
        <w:t>Division and has undergone an internal consultation process</w:t>
      </w:r>
      <w:proofErr w:type="gramEnd"/>
      <w:r>
        <w:t xml:space="preserve"> and is of a form tha</w:t>
      </w:r>
      <w:r w:rsidR="009F3BEB">
        <w:t>t the Department of Environment and</w:t>
      </w:r>
      <w:r>
        <w:t xml:space="preserve"> Water Resources is comfortable with.</w:t>
      </w:r>
    </w:p>
    <w:p w:rsidR="000524CC" w:rsidRDefault="000524CC" w:rsidP="000524CC">
      <w:pPr>
        <w:tabs>
          <w:tab w:val="left" w:pos="-720"/>
        </w:tabs>
        <w:suppressAutoHyphens/>
        <w:jc w:val="both"/>
      </w:pPr>
      <w:r>
        <w:t xml:space="preserve"> </w:t>
      </w:r>
    </w:p>
    <w:p w:rsidR="000524CC" w:rsidRDefault="000524CC" w:rsidP="000524CC">
      <w:pPr>
        <w:tabs>
          <w:tab w:val="left" w:pos="-720"/>
        </w:tabs>
        <w:suppressAutoHyphens/>
        <w:jc w:val="both"/>
      </w:pPr>
      <w:r>
        <w:t xml:space="preserve">It should be noted that the use or application of this document does not guarantee compliance with Part 10 of the </w:t>
      </w:r>
      <w:r>
        <w:rPr>
          <w:i/>
          <w:iCs/>
        </w:rPr>
        <w:t>Petroleum and Geothermal Energy Act 2000</w:t>
      </w:r>
      <w:r>
        <w:t>.  The operator must ensure that all available, relevant information is transcribed into this template document.  It should be noted that this is only a precursory document to the actual Notice of Entry that is required once details of geophysical or drilling activities have been better defined.</w:t>
      </w:r>
    </w:p>
    <w:p w:rsidR="007A0BBC" w:rsidRDefault="007A0BBC"/>
    <w:p w:rsidR="000524CC" w:rsidRDefault="000524CC"/>
    <w:p w:rsidR="000524CC" w:rsidRDefault="000524CC"/>
    <w:p w:rsidR="000524CC" w:rsidRDefault="000524CC"/>
    <w:p w:rsidR="000524CC" w:rsidRDefault="000524CC"/>
    <w:p w:rsidR="000524CC" w:rsidRDefault="000524CC"/>
    <w:p w:rsidR="000524CC" w:rsidRDefault="000524CC"/>
    <w:p w:rsidR="000524CC" w:rsidRDefault="000524CC"/>
    <w:p w:rsidR="000524CC" w:rsidRDefault="000524CC"/>
    <w:p w:rsidR="000524CC" w:rsidRDefault="000524CC"/>
    <w:p w:rsidR="000524CC" w:rsidRDefault="000524CC"/>
    <w:p w:rsidR="000524CC" w:rsidRDefault="000524CC"/>
    <w:p w:rsidR="000524CC" w:rsidRDefault="000524CC"/>
    <w:p w:rsidR="000524CC" w:rsidRDefault="000524CC"/>
    <w:p w:rsidR="000524CC" w:rsidRDefault="000524CC"/>
    <w:p w:rsidR="000524CC" w:rsidRDefault="000524CC"/>
    <w:p w:rsidR="000524CC" w:rsidRDefault="000524CC"/>
    <w:p w:rsidR="000524CC" w:rsidRDefault="000524CC"/>
    <w:p w:rsidR="000524CC" w:rsidRDefault="000524CC"/>
    <w:p w:rsidR="000524CC" w:rsidRDefault="000524CC"/>
    <w:p w:rsidR="000524CC" w:rsidRDefault="000524CC"/>
    <w:p w:rsidR="000524CC" w:rsidRDefault="000524CC"/>
    <w:p w:rsidR="000524CC" w:rsidRDefault="000524CC"/>
    <w:p w:rsidR="000524CC" w:rsidRDefault="000524CC"/>
    <w:p w:rsidR="00015A49" w:rsidRDefault="00015A49" w:rsidP="000524CC">
      <w:pPr>
        <w:outlineLvl w:val="0"/>
        <w:rPr>
          <w:rFonts w:cs="Arial"/>
          <w:sz w:val="22"/>
        </w:rPr>
      </w:pPr>
    </w:p>
    <w:p w:rsidR="000524CC" w:rsidRDefault="002C2524" w:rsidP="000524CC">
      <w:pPr>
        <w:outlineLvl w:val="0"/>
        <w:rPr>
          <w:rFonts w:cs="Arial"/>
          <w:sz w:val="22"/>
        </w:rPr>
      </w:pPr>
      <w:r>
        <w:rPr>
          <w:rFonts w:cs="Arial"/>
          <w:sz w:val="22"/>
        </w:rPr>
        <w:t>[</w:t>
      </w:r>
      <w:r w:rsidR="000524CC">
        <w:rPr>
          <w:rFonts w:cs="Arial"/>
          <w:sz w:val="22"/>
        </w:rPr>
        <w:t>Insert name and address details</w:t>
      </w:r>
      <w:r>
        <w:rPr>
          <w:rFonts w:cs="Arial"/>
          <w:sz w:val="22"/>
        </w:rPr>
        <w:t>]</w:t>
      </w:r>
    </w:p>
    <w:p w:rsidR="000524CC" w:rsidRDefault="000524CC" w:rsidP="000524CC">
      <w:pPr>
        <w:outlineLvl w:val="0"/>
        <w:rPr>
          <w:rFonts w:cs="Arial"/>
          <w:sz w:val="22"/>
        </w:rPr>
      </w:pPr>
    </w:p>
    <w:p w:rsidR="000524CC" w:rsidRDefault="000524CC" w:rsidP="000524CC">
      <w:pPr>
        <w:outlineLvl w:val="0"/>
        <w:rPr>
          <w:rFonts w:cs="Arial"/>
          <w:sz w:val="22"/>
        </w:rPr>
      </w:pPr>
      <w:r>
        <w:rPr>
          <w:rFonts w:cs="Arial"/>
          <w:sz w:val="22"/>
        </w:rPr>
        <w:t xml:space="preserve">Dear </w:t>
      </w:r>
      <w:r w:rsidR="002C2524">
        <w:rPr>
          <w:rFonts w:cs="Arial"/>
          <w:sz w:val="22"/>
        </w:rPr>
        <w:t>[</w:t>
      </w:r>
      <w:r>
        <w:rPr>
          <w:rFonts w:cs="Arial"/>
          <w:sz w:val="22"/>
        </w:rPr>
        <w:t>insert name</w:t>
      </w:r>
      <w:r w:rsidR="002C2524">
        <w:rPr>
          <w:rFonts w:cs="Arial"/>
          <w:sz w:val="22"/>
        </w:rPr>
        <w:t>]</w:t>
      </w:r>
    </w:p>
    <w:p w:rsidR="000524CC" w:rsidRDefault="000524CC" w:rsidP="000524CC">
      <w:pPr>
        <w:rPr>
          <w:sz w:val="22"/>
        </w:rPr>
      </w:pPr>
    </w:p>
    <w:p w:rsidR="000524CC" w:rsidRDefault="000524CC" w:rsidP="000524CC">
      <w:pPr>
        <w:outlineLvl w:val="0"/>
        <w:rPr>
          <w:rFonts w:cs="Arial"/>
          <w:b/>
          <w:sz w:val="22"/>
        </w:rPr>
      </w:pPr>
      <w:r>
        <w:rPr>
          <w:rFonts w:cs="Arial"/>
          <w:b/>
          <w:sz w:val="22"/>
        </w:rPr>
        <w:t>Notice of Entry for Petroleum Exploration Activities</w:t>
      </w:r>
    </w:p>
    <w:p w:rsidR="000524CC" w:rsidRDefault="000524CC" w:rsidP="000524CC">
      <w:pPr>
        <w:rPr>
          <w:rFonts w:cs="Arial"/>
          <w:sz w:val="22"/>
        </w:rPr>
      </w:pPr>
    </w:p>
    <w:p w:rsidR="000524CC" w:rsidRDefault="000524CC" w:rsidP="000524CC">
      <w:pPr>
        <w:jc w:val="both"/>
        <w:rPr>
          <w:rFonts w:cs="Arial"/>
          <w:sz w:val="22"/>
        </w:rPr>
      </w:pPr>
      <w:r>
        <w:rPr>
          <w:rFonts w:cs="Arial"/>
          <w:sz w:val="22"/>
        </w:rPr>
        <w:t xml:space="preserve">[Insert Company] intends to undertake exploratory activities within the </w:t>
      </w:r>
      <w:r>
        <w:rPr>
          <w:rFonts w:cs="Arial"/>
          <w:b/>
          <w:sz w:val="22"/>
        </w:rPr>
        <w:t>[insert name]</w:t>
      </w:r>
      <w:r>
        <w:rPr>
          <w:rFonts w:cs="Arial"/>
          <w:sz w:val="22"/>
        </w:rPr>
        <w:t xml:space="preserve"> Regional Reserve/Park as part of its PEL </w:t>
      </w:r>
      <w:r>
        <w:rPr>
          <w:rFonts w:cs="Arial"/>
          <w:b/>
          <w:sz w:val="22"/>
        </w:rPr>
        <w:t>[insert number]</w:t>
      </w:r>
      <w:r>
        <w:rPr>
          <w:rFonts w:cs="Arial"/>
          <w:sz w:val="22"/>
        </w:rPr>
        <w:t xml:space="preserve"> licence commitments during [insert date]. These commitments include </w:t>
      </w:r>
      <w:r>
        <w:rPr>
          <w:rFonts w:cs="Arial"/>
          <w:b/>
          <w:sz w:val="22"/>
        </w:rPr>
        <w:t>[insert</w:t>
      </w:r>
      <w:r w:rsidR="002C2524">
        <w:rPr>
          <w:rFonts w:cs="Arial"/>
          <w:b/>
          <w:sz w:val="22"/>
        </w:rPr>
        <w:t xml:space="preserve"> number</w:t>
      </w:r>
      <w:r>
        <w:rPr>
          <w:rFonts w:cs="Arial"/>
          <w:b/>
          <w:sz w:val="22"/>
        </w:rPr>
        <w:t>]</w:t>
      </w:r>
      <w:r>
        <w:rPr>
          <w:rFonts w:cs="Arial"/>
          <w:sz w:val="22"/>
        </w:rPr>
        <w:t xml:space="preserve"> km of seismic surveying and </w:t>
      </w:r>
      <w:r>
        <w:rPr>
          <w:rFonts w:cs="Arial"/>
          <w:b/>
          <w:sz w:val="22"/>
        </w:rPr>
        <w:t>[insert</w:t>
      </w:r>
      <w:r w:rsidR="002C2524">
        <w:rPr>
          <w:rFonts w:cs="Arial"/>
          <w:b/>
          <w:sz w:val="22"/>
        </w:rPr>
        <w:t xml:space="preserve"> number</w:t>
      </w:r>
      <w:r>
        <w:rPr>
          <w:rFonts w:cs="Arial"/>
          <w:b/>
          <w:sz w:val="22"/>
        </w:rPr>
        <w:t>]</w:t>
      </w:r>
      <w:r>
        <w:rPr>
          <w:rFonts w:cs="Arial"/>
          <w:sz w:val="22"/>
        </w:rPr>
        <w:t xml:space="preserve"> exploratory wells to be drilled. Whilst the final location</w:t>
      </w:r>
      <w:r>
        <w:rPr>
          <w:rFonts w:cs="Arial"/>
          <w:bCs/>
          <w:sz w:val="22"/>
        </w:rPr>
        <w:t>s</w:t>
      </w:r>
      <w:r>
        <w:rPr>
          <w:rFonts w:cs="Arial"/>
          <w:sz w:val="22"/>
        </w:rPr>
        <w:t xml:space="preserve"> of these activities are yet to be determined, the general areas of work are indicated in the attached map. To enable the clear identification of the area of concern, the map also includes named surface features, pastoral tenure names and their boundaries and any national park reserve boundaries. Factors that influence the final locations include the physical, cultural, social and logistical aspects of the area. To clarify these aspects, it is normal practice to reconnoitre the area in light of the activity proposed and to undertake cultural Work Area Clearances by heritage or native title claimant representatives </w:t>
      </w:r>
      <w:r w:rsidRPr="005458FC">
        <w:rPr>
          <w:rFonts w:cs="Arial"/>
          <w:sz w:val="22"/>
        </w:rPr>
        <w:t>and environmental inspections by environmental personnel.</w:t>
      </w:r>
    </w:p>
    <w:p w:rsidR="000524CC" w:rsidRDefault="000524CC" w:rsidP="000524CC">
      <w:pPr>
        <w:jc w:val="both"/>
        <w:rPr>
          <w:rFonts w:cs="Arial"/>
          <w:sz w:val="22"/>
        </w:rPr>
      </w:pPr>
    </w:p>
    <w:p w:rsidR="000524CC" w:rsidRDefault="000524CC" w:rsidP="000524CC">
      <w:pPr>
        <w:pStyle w:val="BodyText"/>
        <w:jc w:val="both"/>
        <w:rPr>
          <w:sz w:val="22"/>
        </w:rPr>
      </w:pPr>
      <w:r>
        <w:rPr>
          <w:sz w:val="22"/>
        </w:rPr>
        <w:t>These field activities usually involve cross-country traverse by 4WD vehicles to inspect the land to identify matters of logistical, environmental or cultural significance. There may also be some bush camping involved, depending on the remoteness of the area. Aerial reconnaissance may also complement the ground inspections.</w:t>
      </w:r>
    </w:p>
    <w:p w:rsidR="000524CC" w:rsidRDefault="000524CC" w:rsidP="000524CC">
      <w:pPr>
        <w:jc w:val="both"/>
        <w:rPr>
          <w:rFonts w:cs="Arial"/>
          <w:sz w:val="22"/>
        </w:rPr>
      </w:pPr>
    </w:p>
    <w:p w:rsidR="000524CC" w:rsidRDefault="000524CC" w:rsidP="000524CC">
      <w:pPr>
        <w:jc w:val="both"/>
        <w:rPr>
          <w:rFonts w:cs="Arial"/>
          <w:sz w:val="22"/>
        </w:rPr>
      </w:pPr>
      <w:r>
        <w:rPr>
          <w:rFonts w:cs="Arial"/>
          <w:sz w:val="22"/>
        </w:rPr>
        <w:t xml:space="preserve">This letter is intended to provide appropriate notification of these proposed field activities in PEL </w:t>
      </w:r>
      <w:r>
        <w:rPr>
          <w:rFonts w:cs="Arial"/>
          <w:b/>
          <w:sz w:val="22"/>
        </w:rPr>
        <w:t>[insert number]</w:t>
      </w:r>
      <w:r>
        <w:rPr>
          <w:rFonts w:cs="Arial"/>
          <w:sz w:val="22"/>
        </w:rPr>
        <w:t xml:space="preserve"> pursuant to Part 10 of the </w:t>
      </w:r>
      <w:r>
        <w:rPr>
          <w:rFonts w:cs="Arial"/>
          <w:i/>
          <w:iCs/>
          <w:sz w:val="22"/>
        </w:rPr>
        <w:t xml:space="preserve">Petroleum and Geothermal Energy Act 2000 </w:t>
      </w:r>
      <w:r w:rsidRPr="000524CC">
        <w:rPr>
          <w:rFonts w:cs="Arial"/>
          <w:iCs/>
          <w:sz w:val="22"/>
        </w:rPr>
        <w:t>(PGE Act)</w:t>
      </w:r>
      <w:r>
        <w:rPr>
          <w:rFonts w:cs="Arial"/>
          <w:sz w:val="22"/>
        </w:rPr>
        <w:t xml:space="preserve">.  </w:t>
      </w:r>
    </w:p>
    <w:p w:rsidR="000524CC" w:rsidRDefault="000524CC" w:rsidP="000524CC">
      <w:pPr>
        <w:jc w:val="both"/>
        <w:rPr>
          <w:rFonts w:cs="Arial"/>
          <w:sz w:val="22"/>
        </w:rPr>
      </w:pPr>
      <w:r>
        <w:rPr>
          <w:rFonts w:cs="Arial"/>
          <w:bCs/>
          <w:sz w:val="22"/>
        </w:rPr>
        <w:t xml:space="preserve">A copy of this part of the PGE Act </w:t>
      </w:r>
      <w:r>
        <w:rPr>
          <w:rFonts w:cs="Arial"/>
          <w:sz w:val="22"/>
        </w:rPr>
        <w:t xml:space="preserve">is attached for your information, as required under the PGE Act. </w:t>
      </w:r>
    </w:p>
    <w:p w:rsidR="000524CC" w:rsidRDefault="000524CC" w:rsidP="000524CC">
      <w:pPr>
        <w:jc w:val="both"/>
        <w:rPr>
          <w:rFonts w:cs="Arial"/>
          <w:color w:val="000000"/>
          <w:sz w:val="22"/>
        </w:rPr>
      </w:pPr>
    </w:p>
    <w:p w:rsidR="000524CC" w:rsidRDefault="000524CC" w:rsidP="000524CC">
      <w:pPr>
        <w:jc w:val="both"/>
        <w:rPr>
          <w:rFonts w:cs="Arial"/>
          <w:bCs/>
          <w:sz w:val="22"/>
        </w:rPr>
      </w:pPr>
      <w:r>
        <w:rPr>
          <w:rFonts w:cs="Arial"/>
          <w:color w:val="000000"/>
          <w:sz w:val="22"/>
        </w:rPr>
        <w:t xml:space="preserve">If you require any further details </w:t>
      </w:r>
      <w:r>
        <w:rPr>
          <w:rFonts w:cs="Arial"/>
          <w:bCs/>
          <w:sz w:val="22"/>
        </w:rPr>
        <w:t>or have any concerns</w:t>
      </w:r>
      <w:r>
        <w:rPr>
          <w:rFonts w:cs="Arial"/>
          <w:b/>
          <w:bCs/>
          <w:color w:val="FF0000"/>
          <w:sz w:val="22"/>
        </w:rPr>
        <w:t xml:space="preserve"> </w:t>
      </w:r>
      <w:r>
        <w:rPr>
          <w:rFonts w:cs="Arial"/>
          <w:sz w:val="22"/>
        </w:rPr>
        <w:t xml:space="preserve">regarding the proposed reconnaissance or Work Area Clearance activities in these general areas, please </w:t>
      </w:r>
      <w:r w:rsidRPr="002C2524">
        <w:rPr>
          <w:rFonts w:cs="Arial"/>
          <w:sz w:val="22"/>
        </w:rPr>
        <w:t>contact</w:t>
      </w:r>
      <w:r w:rsidRPr="002C2524">
        <w:rPr>
          <w:rFonts w:cs="Arial"/>
          <w:b/>
          <w:sz w:val="22"/>
        </w:rPr>
        <w:t xml:space="preserve"> [insert contact person and company details]</w:t>
      </w:r>
      <w:r>
        <w:rPr>
          <w:rFonts w:cs="Arial"/>
          <w:sz w:val="22"/>
        </w:rPr>
        <w:t>.</w:t>
      </w:r>
    </w:p>
    <w:p w:rsidR="000524CC" w:rsidRDefault="000524CC" w:rsidP="000524CC">
      <w:pPr>
        <w:jc w:val="both"/>
        <w:rPr>
          <w:rFonts w:cs="Arial"/>
          <w:b/>
          <w:bCs/>
          <w:color w:val="FF0000"/>
          <w:sz w:val="22"/>
        </w:rPr>
      </w:pPr>
    </w:p>
    <w:p w:rsidR="000524CC" w:rsidRDefault="000524CC" w:rsidP="000524CC">
      <w:pPr>
        <w:jc w:val="both"/>
        <w:rPr>
          <w:rFonts w:cs="Arial"/>
          <w:b/>
          <w:bCs/>
          <w:color w:val="FF0000"/>
          <w:sz w:val="22"/>
        </w:rPr>
      </w:pPr>
      <w:r>
        <w:rPr>
          <w:rFonts w:cs="Arial"/>
          <w:sz w:val="22"/>
        </w:rPr>
        <w:t>When final locations of geophysical or drilling activities are resolved, a more specific and detailed Notice of Entry will be provided for these activities.</w:t>
      </w:r>
    </w:p>
    <w:p w:rsidR="000524CC" w:rsidRDefault="000524CC" w:rsidP="000524CC">
      <w:pPr>
        <w:jc w:val="both"/>
        <w:rPr>
          <w:rFonts w:cs="Arial"/>
          <w:b/>
          <w:bCs/>
          <w:color w:val="FF0000"/>
          <w:sz w:val="22"/>
        </w:rPr>
      </w:pPr>
    </w:p>
    <w:p w:rsidR="000524CC" w:rsidRDefault="000524CC" w:rsidP="000524CC">
      <w:pPr>
        <w:jc w:val="both"/>
        <w:rPr>
          <w:rFonts w:cs="Arial"/>
          <w:bCs/>
          <w:sz w:val="22"/>
        </w:rPr>
      </w:pPr>
      <w:r>
        <w:rPr>
          <w:rFonts w:cs="Arial"/>
          <w:bCs/>
          <w:sz w:val="22"/>
        </w:rPr>
        <w:t>Any concerns or issues associated with these activities may also be raised with:</w:t>
      </w:r>
    </w:p>
    <w:p w:rsidR="000524CC" w:rsidRDefault="000524CC" w:rsidP="000524CC">
      <w:pPr>
        <w:jc w:val="both"/>
        <w:outlineLvl w:val="0"/>
        <w:rPr>
          <w:rFonts w:cs="Arial"/>
          <w:bCs/>
          <w:sz w:val="22"/>
        </w:rPr>
      </w:pPr>
      <w:r>
        <w:rPr>
          <w:rFonts w:cs="Arial"/>
          <w:bCs/>
          <w:sz w:val="22"/>
        </w:rPr>
        <w:t xml:space="preserve">Michael Malavazos </w:t>
      </w:r>
    </w:p>
    <w:p w:rsidR="000524CC" w:rsidRDefault="000524CC" w:rsidP="000524CC">
      <w:pPr>
        <w:jc w:val="both"/>
        <w:outlineLvl w:val="0"/>
        <w:rPr>
          <w:rFonts w:cs="Arial"/>
          <w:bCs/>
          <w:sz w:val="22"/>
        </w:rPr>
      </w:pPr>
      <w:r>
        <w:rPr>
          <w:rFonts w:cs="Arial"/>
          <w:bCs/>
          <w:sz w:val="22"/>
        </w:rPr>
        <w:t>Director Engineering Operations</w:t>
      </w:r>
    </w:p>
    <w:p w:rsidR="000524CC" w:rsidRDefault="000524CC" w:rsidP="000524CC">
      <w:pPr>
        <w:jc w:val="both"/>
        <w:outlineLvl w:val="0"/>
        <w:rPr>
          <w:rFonts w:cs="Arial"/>
          <w:bCs/>
          <w:sz w:val="22"/>
        </w:rPr>
      </w:pPr>
      <w:r>
        <w:rPr>
          <w:rFonts w:cs="Arial"/>
          <w:bCs/>
          <w:sz w:val="22"/>
        </w:rPr>
        <w:t>Energy Resources Division</w:t>
      </w:r>
    </w:p>
    <w:p w:rsidR="000524CC" w:rsidRDefault="000524CC" w:rsidP="000524CC">
      <w:pPr>
        <w:jc w:val="both"/>
        <w:outlineLvl w:val="0"/>
        <w:rPr>
          <w:rFonts w:cs="Arial"/>
          <w:bCs/>
          <w:sz w:val="22"/>
        </w:rPr>
      </w:pPr>
      <w:r>
        <w:rPr>
          <w:rFonts w:cs="Arial"/>
          <w:bCs/>
          <w:sz w:val="22"/>
        </w:rPr>
        <w:t xml:space="preserve">Department </w:t>
      </w:r>
      <w:r w:rsidR="009F3BEB">
        <w:rPr>
          <w:rFonts w:cs="Arial"/>
          <w:bCs/>
          <w:sz w:val="22"/>
        </w:rPr>
        <w:t>for Energy and Mining</w:t>
      </w:r>
    </w:p>
    <w:p w:rsidR="000524CC" w:rsidRDefault="000524CC" w:rsidP="000524CC">
      <w:pPr>
        <w:jc w:val="both"/>
        <w:outlineLvl w:val="0"/>
        <w:rPr>
          <w:rFonts w:cs="Arial"/>
          <w:bCs/>
          <w:sz w:val="22"/>
        </w:rPr>
      </w:pPr>
      <w:r>
        <w:rPr>
          <w:rFonts w:cs="Arial"/>
          <w:bCs/>
          <w:sz w:val="22"/>
        </w:rPr>
        <w:t xml:space="preserve">Via (08) 8463 3245 or </w:t>
      </w:r>
      <w:hyperlink r:id="rId7" w:history="1">
        <w:r w:rsidRPr="00041935">
          <w:rPr>
            <w:rStyle w:val="Hyperlink"/>
            <w:rFonts w:cs="Arial"/>
            <w:bCs/>
            <w:sz w:val="22"/>
          </w:rPr>
          <w:t>Michael.malavazos@sa.gov.au</w:t>
        </w:r>
      </w:hyperlink>
      <w:r>
        <w:rPr>
          <w:rFonts w:cs="Arial"/>
          <w:bCs/>
          <w:sz w:val="22"/>
        </w:rPr>
        <w:t xml:space="preserve"> </w:t>
      </w:r>
    </w:p>
    <w:p w:rsidR="000524CC" w:rsidRDefault="000524CC" w:rsidP="000524CC">
      <w:pPr>
        <w:jc w:val="both"/>
        <w:rPr>
          <w:rFonts w:cs="Arial"/>
          <w:sz w:val="22"/>
        </w:rPr>
      </w:pPr>
    </w:p>
    <w:p w:rsidR="000524CC" w:rsidRDefault="000524CC" w:rsidP="000524CC">
      <w:pPr>
        <w:jc w:val="both"/>
        <w:outlineLvl w:val="0"/>
        <w:rPr>
          <w:rFonts w:cs="Arial"/>
          <w:sz w:val="22"/>
        </w:rPr>
      </w:pPr>
      <w:r>
        <w:rPr>
          <w:rFonts w:cs="Arial"/>
          <w:sz w:val="22"/>
        </w:rPr>
        <w:t>Yours sincerely</w:t>
      </w:r>
    </w:p>
    <w:p w:rsidR="000524CC" w:rsidRDefault="000524CC" w:rsidP="000524CC">
      <w:pPr>
        <w:jc w:val="both"/>
        <w:rPr>
          <w:rFonts w:cs="Arial"/>
          <w:sz w:val="22"/>
        </w:rPr>
      </w:pPr>
    </w:p>
    <w:p w:rsidR="000524CC" w:rsidRDefault="000524CC" w:rsidP="000524CC">
      <w:pPr>
        <w:jc w:val="both"/>
        <w:outlineLvl w:val="0"/>
        <w:rPr>
          <w:rFonts w:cs="Arial"/>
          <w:sz w:val="22"/>
        </w:rPr>
      </w:pPr>
      <w:r>
        <w:rPr>
          <w:rFonts w:cs="Arial"/>
          <w:sz w:val="22"/>
        </w:rPr>
        <w:t>Licensee/Operator Representative</w:t>
      </w:r>
    </w:p>
    <w:p w:rsidR="000524CC" w:rsidRDefault="000524CC" w:rsidP="000524CC">
      <w:pPr>
        <w:jc w:val="both"/>
        <w:rPr>
          <w:rFonts w:cs="Arial"/>
          <w:sz w:val="22"/>
        </w:rPr>
      </w:pPr>
      <w:r>
        <w:rPr>
          <w:rFonts w:cs="Arial"/>
          <w:sz w:val="22"/>
        </w:rPr>
        <w:t>Title</w:t>
      </w:r>
    </w:p>
    <w:p w:rsidR="000524CC" w:rsidRDefault="000524CC" w:rsidP="000524CC">
      <w:pPr>
        <w:jc w:val="both"/>
        <w:rPr>
          <w:rFonts w:cs="Arial"/>
          <w:sz w:val="22"/>
        </w:rPr>
      </w:pPr>
      <w:r>
        <w:rPr>
          <w:rFonts w:cs="Arial"/>
          <w:sz w:val="22"/>
        </w:rPr>
        <w:t>Company</w:t>
      </w:r>
    </w:p>
    <w:p w:rsidR="000524CC" w:rsidRDefault="000524CC" w:rsidP="000524CC">
      <w:pPr>
        <w:jc w:val="both"/>
        <w:rPr>
          <w:rFonts w:cs="Arial"/>
          <w:bCs/>
          <w:sz w:val="22"/>
        </w:rPr>
      </w:pPr>
      <w:r>
        <w:rPr>
          <w:rFonts w:cs="Arial"/>
          <w:bCs/>
          <w:sz w:val="22"/>
        </w:rPr>
        <w:t>Date:</w:t>
      </w:r>
    </w:p>
    <w:p w:rsidR="000524CC" w:rsidRDefault="000524CC" w:rsidP="000524CC">
      <w:pPr>
        <w:tabs>
          <w:tab w:val="left" w:pos="3150"/>
        </w:tabs>
        <w:jc w:val="both"/>
        <w:rPr>
          <w:rFonts w:cs="Arial"/>
          <w:bCs/>
          <w:sz w:val="22"/>
        </w:rPr>
      </w:pPr>
      <w:bookmarkStart w:id="0" w:name="_GoBack"/>
      <w:bookmarkEnd w:id="0"/>
    </w:p>
    <w:p w:rsidR="000524CC" w:rsidRDefault="000524CC" w:rsidP="000524CC">
      <w:pPr>
        <w:tabs>
          <w:tab w:val="left" w:pos="3150"/>
        </w:tabs>
        <w:jc w:val="both"/>
        <w:rPr>
          <w:rFonts w:cs="Arial"/>
          <w:bCs/>
          <w:sz w:val="22"/>
        </w:rPr>
      </w:pPr>
      <w:r>
        <w:rPr>
          <w:rFonts w:cs="Arial"/>
          <w:bCs/>
          <w:sz w:val="22"/>
        </w:rPr>
        <w:t>Attach:</w:t>
      </w:r>
    </w:p>
    <w:p w:rsidR="000524CC" w:rsidRPr="000524CC" w:rsidRDefault="000524CC" w:rsidP="000524CC">
      <w:pPr>
        <w:tabs>
          <w:tab w:val="left" w:pos="3150"/>
        </w:tabs>
        <w:jc w:val="center"/>
        <w:rPr>
          <w:rFonts w:cs="Arial"/>
          <w:bCs/>
          <w:sz w:val="22"/>
        </w:rPr>
      </w:pPr>
      <w:r>
        <w:rPr>
          <w:b/>
          <w:bCs/>
          <w:color w:val="000000"/>
          <w:sz w:val="32"/>
          <w:szCs w:val="32"/>
        </w:rPr>
        <w:lastRenderedPageBreak/>
        <w:t>Petroleum and Geothermal Energy Act 2000</w:t>
      </w:r>
    </w:p>
    <w:p w:rsidR="000524CC" w:rsidRDefault="000524CC" w:rsidP="000524CC">
      <w:pPr>
        <w:keepNext/>
        <w:keepLines/>
        <w:autoSpaceDE w:val="0"/>
        <w:autoSpaceDN w:val="0"/>
        <w:adjustRightInd w:val="0"/>
        <w:spacing w:before="280"/>
        <w:ind w:left="567" w:hanging="567"/>
        <w:rPr>
          <w:b/>
          <w:bCs/>
          <w:color w:val="000000"/>
          <w:sz w:val="32"/>
          <w:szCs w:val="32"/>
        </w:rPr>
      </w:pPr>
      <w:r>
        <w:rPr>
          <w:b/>
          <w:bCs/>
          <w:color w:val="000000"/>
          <w:sz w:val="32"/>
          <w:szCs w:val="32"/>
        </w:rPr>
        <w:t>Part 10—Entry to and use of land</w:t>
      </w:r>
    </w:p>
    <w:p w:rsidR="000524CC" w:rsidRDefault="000524CC" w:rsidP="000524CC">
      <w:pPr>
        <w:pStyle w:val="clausehead"/>
      </w:pPr>
      <w:bookmarkStart w:id="1" w:name="Elkera_Print_TOC92"/>
      <w:r>
        <w:t>60—Right of entry to land</w:t>
      </w:r>
      <w:bookmarkEnd w:id="1"/>
    </w:p>
    <w:p w:rsidR="000524CC" w:rsidRDefault="000524CC" w:rsidP="000524CC">
      <w:pPr>
        <w:keepNext/>
        <w:keepLines/>
        <w:autoSpaceDE w:val="0"/>
        <w:autoSpaceDN w:val="0"/>
        <w:adjustRightInd w:val="0"/>
        <w:spacing w:before="120"/>
        <w:ind w:left="794"/>
        <w:rPr>
          <w:color w:val="000000"/>
          <w:sz w:val="23"/>
          <w:szCs w:val="23"/>
        </w:rPr>
      </w:pPr>
      <w:r>
        <w:rPr>
          <w:color w:val="000000"/>
          <w:sz w:val="23"/>
          <w:szCs w:val="23"/>
        </w:rPr>
        <w:t>A licensee may, subject to this Part—</w:t>
      </w:r>
    </w:p>
    <w:p w:rsidR="000524CC" w:rsidRDefault="000524CC" w:rsidP="000524CC">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(a)</w:t>
      </w:r>
      <w:r>
        <w:rPr>
          <w:color w:val="000000"/>
          <w:sz w:val="23"/>
          <w:szCs w:val="23"/>
        </w:rPr>
        <w:tab/>
      </w:r>
      <w:proofErr w:type="gramStart"/>
      <w:r>
        <w:rPr>
          <w:color w:val="000000"/>
          <w:sz w:val="23"/>
          <w:szCs w:val="23"/>
        </w:rPr>
        <w:t>enter</w:t>
      </w:r>
      <w:proofErr w:type="gramEnd"/>
      <w:r>
        <w:rPr>
          <w:color w:val="000000"/>
          <w:sz w:val="23"/>
          <w:szCs w:val="23"/>
        </w:rPr>
        <w:t xml:space="preserve"> land to carry out authorised activities on the land; or</w:t>
      </w:r>
    </w:p>
    <w:p w:rsidR="000524CC" w:rsidRDefault="000524CC" w:rsidP="000524CC">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(b)</w:t>
      </w:r>
      <w:r>
        <w:rPr>
          <w:color w:val="000000"/>
          <w:sz w:val="23"/>
          <w:szCs w:val="23"/>
        </w:rPr>
        <w:tab/>
      </w:r>
      <w:proofErr w:type="gramStart"/>
      <w:r>
        <w:rPr>
          <w:color w:val="000000"/>
          <w:sz w:val="23"/>
          <w:szCs w:val="23"/>
        </w:rPr>
        <w:t>enter</w:t>
      </w:r>
      <w:proofErr w:type="gramEnd"/>
      <w:r>
        <w:rPr>
          <w:color w:val="000000"/>
          <w:sz w:val="23"/>
          <w:szCs w:val="23"/>
        </w:rPr>
        <w:t xml:space="preserve"> land for the purpose of gaining access to adjacent land on which the licensee proposes to carry out authorised activities.</w:t>
      </w:r>
    </w:p>
    <w:p w:rsidR="000524CC" w:rsidRDefault="000524CC" w:rsidP="000524CC">
      <w:pPr>
        <w:pStyle w:val="clausehead"/>
      </w:pPr>
      <w:bookmarkStart w:id="2" w:name="Elkera_Print_TOC93"/>
      <w:r>
        <w:t>61—Notice of entry on land</w:t>
      </w:r>
      <w:bookmarkEnd w:id="2"/>
    </w:p>
    <w:p w:rsidR="000524CC" w:rsidRDefault="000524CC" w:rsidP="000524CC">
      <w:pPr>
        <w:keepNext/>
        <w:keepLines/>
        <w:tabs>
          <w:tab w:val="center" w:pos="397"/>
          <w:tab w:val="left" w:pos="794"/>
        </w:tabs>
        <w:autoSpaceDE w:val="0"/>
        <w:autoSpaceDN w:val="0"/>
        <w:adjustRightInd w:val="0"/>
        <w:spacing w:before="120"/>
        <w:ind w:left="794" w:hanging="794"/>
        <w:rPr>
          <w:color w:val="000000"/>
          <w:sz w:val="23"/>
          <w:szCs w:val="23"/>
        </w:rPr>
      </w:pPr>
      <w:r>
        <w:rPr>
          <w:color w:val="000000"/>
          <w:sz w:val="23"/>
          <w:szCs w:val="23"/>
        </w:rPr>
        <w:tab/>
        <w:t>(1)</w:t>
      </w:r>
      <w:r>
        <w:rPr>
          <w:color w:val="000000"/>
          <w:sz w:val="23"/>
          <w:szCs w:val="23"/>
        </w:rPr>
        <w:tab/>
        <w:t>A licensee must, at least 21 days before entering land under this Part, give written notice to the owner of the land, in the form required by the regulations—</w:t>
      </w:r>
    </w:p>
    <w:p w:rsidR="000524CC" w:rsidRDefault="000524CC" w:rsidP="000524CC">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(a)</w:t>
      </w:r>
      <w:r>
        <w:rPr>
          <w:color w:val="000000"/>
          <w:sz w:val="23"/>
          <w:szCs w:val="23"/>
        </w:rPr>
        <w:tab/>
      </w:r>
      <w:proofErr w:type="gramStart"/>
      <w:r>
        <w:rPr>
          <w:color w:val="000000"/>
          <w:sz w:val="23"/>
          <w:szCs w:val="23"/>
        </w:rPr>
        <w:t>of</w:t>
      </w:r>
      <w:proofErr w:type="gramEnd"/>
      <w:r>
        <w:rPr>
          <w:color w:val="000000"/>
          <w:sz w:val="23"/>
          <w:szCs w:val="23"/>
        </w:rPr>
        <w:t xml:space="preserve"> the licensee's intention to enter the land; and</w:t>
      </w:r>
    </w:p>
    <w:p w:rsidR="000524CC" w:rsidRDefault="000524CC" w:rsidP="000524CC">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(b)</w:t>
      </w:r>
      <w:r>
        <w:rPr>
          <w:color w:val="000000"/>
          <w:sz w:val="23"/>
          <w:szCs w:val="23"/>
        </w:rPr>
        <w:tab/>
      </w:r>
      <w:proofErr w:type="gramStart"/>
      <w:r>
        <w:rPr>
          <w:color w:val="000000"/>
          <w:sz w:val="23"/>
          <w:szCs w:val="23"/>
        </w:rPr>
        <w:t>if</w:t>
      </w:r>
      <w:proofErr w:type="gramEnd"/>
      <w:r>
        <w:rPr>
          <w:color w:val="000000"/>
          <w:sz w:val="23"/>
          <w:szCs w:val="23"/>
        </w:rPr>
        <w:t xml:space="preserve"> the licensee proposes to carry out regulated activities on the land—of the nature of the activities to be carried out on the land.</w:t>
      </w:r>
    </w:p>
    <w:p w:rsidR="000524CC" w:rsidRDefault="000524CC" w:rsidP="000524CC">
      <w:pPr>
        <w:keepLines/>
        <w:autoSpaceDE w:val="0"/>
        <w:autoSpaceDN w:val="0"/>
        <w:adjustRightInd w:val="0"/>
        <w:spacing w:before="80"/>
        <w:ind w:left="794"/>
        <w:rPr>
          <w:color w:val="000000"/>
          <w:sz w:val="23"/>
          <w:szCs w:val="23"/>
        </w:rPr>
      </w:pPr>
      <w:r>
        <w:rPr>
          <w:color w:val="000000"/>
          <w:sz w:val="23"/>
          <w:szCs w:val="23"/>
        </w:rPr>
        <w:t>Maximum penalty: $20 000.</w:t>
      </w:r>
    </w:p>
    <w:p w:rsidR="000524CC" w:rsidRDefault="000524CC" w:rsidP="000524CC">
      <w:pPr>
        <w:keepLines/>
        <w:tabs>
          <w:tab w:val="center" w:pos="397"/>
          <w:tab w:val="left" w:pos="794"/>
        </w:tabs>
        <w:autoSpaceDE w:val="0"/>
        <w:autoSpaceDN w:val="0"/>
        <w:adjustRightInd w:val="0"/>
        <w:spacing w:before="120"/>
        <w:ind w:left="794" w:hanging="794"/>
        <w:rPr>
          <w:color w:val="000000"/>
          <w:sz w:val="23"/>
          <w:szCs w:val="23"/>
        </w:rPr>
      </w:pPr>
      <w:r>
        <w:rPr>
          <w:color w:val="000000"/>
          <w:sz w:val="23"/>
          <w:szCs w:val="23"/>
        </w:rPr>
        <w:tab/>
        <w:t>(2)</w:t>
      </w:r>
      <w:r>
        <w:rPr>
          <w:color w:val="000000"/>
          <w:sz w:val="23"/>
          <w:szCs w:val="23"/>
        </w:rPr>
        <w:tab/>
        <w:t>Once notice of entry has been given, a further notice for re-entry of the land is not necessary unless the activities to be carried out on the land differ significantly, in nature or extent, from the activities as described in the previous notice.</w:t>
      </w:r>
    </w:p>
    <w:p w:rsidR="000524CC" w:rsidRDefault="000524CC" w:rsidP="000524CC">
      <w:pPr>
        <w:keepLines/>
        <w:tabs>
          <w:tab w:val="center" w:pos="397"/>
          <w:tab w:val="left" w:pos="794"/>
        </w:tabs>
        <w:autoSpaceDE w:val="0"/>
        <w:autoSpaceDN w:val="0"/>
        <w:adjustRightInd w:val="0"/>
        <w:spacing w:before="120"/>
        <w:ind w:left="794" w:hanging="794"/>
        <w:rPr>
          <w:color w:val="000000"/>
          <w:sz w:val="23"/>
          <w:szCs w:val="23"/>
        </w:rPr>
      </w:pPr>
      <w:r>
        <w:rPr>
          <w:color w:val="000000"/>
          <w:sz w:val="23"/>
          <w:szCs w:val="23"/>
        </w:rPr>
        <w:tab/>
        <w:t>(3)</w:t>
      </w:r>
      <w:r>
        <w:rPr>
          <w:color w:val="000000"/>
          <w:sz w:val="23"/>
          <w:szCs w:val="23"/>
        </w:rPr>
        <w:tab/>
        <w:t>An owner of land who is entitled to receive a notice under this section may, by written notice furnished to the licensee, reduce the required period of notice.</w:t>
      </w:r>
    </w:p>
    <w:p w:rsidR="000524CC" w:rsidRDefault="000524CC" w:rsidP="000524CC">
      <w:pPr>
        <w:pStyle w:val="clausehead"/>
      </w:pPr>
      <w:bookmarkStart w:id="3" w:name="Elkera_Print_TOC94"/>
      <w:r>
        <w:t>62—</w:t>
      </w:r>
      <w:proofErr w:type="gramStart"/>
      <w:r>
        <w:t>Disputed</w:t>
      </w:r>
      <w:proofErr w:type="gramEnd"/>
      <w:r>
        <w:t xml:space="preserve"> entry</w:t>
      </w:r>
      <w:bookmarkEnd w:id="3"/>
    </w:p>
    <w:p w:rsidR="000524CC" w:rsidRDefault="000524CC" w:rsidP="000524CC">
      <w:pPr>
        <w:keepLines/>
        <w:tabs>
          <w:tab w:val="center" w:pos="397"/>
          <w:tab w:val="left" w:pos="794"/>
        </w:tabs>
        <w:autoSpaceDE w:val="0"/>
        <w:autoSpaceDN w:val="0"/>
        <w:adjustRightInd w:val="0"/>
        <w:spacing w:before="120"/>
        <w:ind w:left="794" w:hanging="794"/>
        <w:rPr>
          <w:color w:val="000000"/>
          <w:sz w:val="23"/>
          <w:szCs w:val="23"/>
        </w:rPr>
      </w:pPr>
      <w:r>
        <w:rPr>
          <w:color w:val="000000"/>
          <w:sz w:val="23"/>
          <w:szCs w:val="23"/>
        </w:rPr>
        <w:tab/>
        <w:t>(1)</w:t>
      </w:r>
      <w:r>
        <w:rPr>
          <w:color w:val="000000"/>
          <w:sz w:val="23"/>
          <w:szCs w:val="23"/>
        </w:rPr>
        <w:tab/>
        <w:t>An owner of the land may, by giving notice of objection to the licensee, object to the licensee's proposed entry.</w:t>
      </w:r>
    </w:p>
    <w:p w:rsidR="000524CC" w:rsidRDefault="000524CC" w:rsidP="000524CC">
      <w:pPr>
        <w:keepLines/>
        <w:tabs>
          <w:tab w:val="center" w:pos="397"/>
          <w:tab w:val="left" w:pos="794"/>
        </w:tabs>
        <w:autoSpaceDE w:val="0"/>
        <w:autoSpaceDN w:val="0"/>
        <w:adjustRightInd w:val="0"/>
        <w:spacing w:before="120"/>
        <w:ind w:left="794" w:hanging="794"/>
        <w:rPr>
          <w:color w:val="000000"/>
          <w:sz w:val="23"/>
          <w:szCs w:val="23"/>
        </w:rPr>
      </w:pPr>
      <w:r>
        <w:rPr>
          <w:color w:val="000000"/>
          <w:sz w:val="23"/>
          <w:szCs w:val="23"/>
        </w:rPr>
        <w:tab/>
        <w:t>(2)</w:t>
      </w:r>
      <w:r>
        <w:rPr>
          <w:color w:val="000000"/>
          <w:sz w:val="23"/>
          <w:szCs w:val="23"/>
        </w:rPr>
        <w:tab/>
        <w:t>A notice of objection must be given within 14 days after the licensee's notice of the proposed entry.</w:t>
      </w:r>
    </w:p>
    <w:p w:rsidR="000524CC" w:rsidRDefault="000524CC" w:rsidP="000524CC">
      <w:pPr>
        <w:keepLines/>
        <w:tabs>
          <w:tab w:val="center" w:pos="397"/>
          <w:tab w:val="left" w:pos="794"/>
        </w:tabs>
        <w:autoSpaceDE w:val="0"/>
        <w:autoSpaceDN w:val="0"/>
        <w:adjustRightInd w:val="0"/>
        <w:spacing w:before="120"/>
        <w:ind w:left="794" w:hanging="794"/>
        <w:rPr>
          <w:color w:val="000000"/>
          <w:sz w:val="23"/>
          <w:szCs w:val="23"/>
        </w:rPr>
      </w:pPr>
      <w:r>
        <w:rPr>
          <w:color w:val="000000"/>
          <w:sz w:val="23"/>
          <w:szCs w:val="23"/>
        </w:rPr>
        <w:tab/>
        <w:t>(3)</w:t>
      </w:r>
      <w:r>
        <w:rPr>
          <w:color w:val="000000"/>
          <w:sz w:val="23"/>
          <w:szCs w:val="23"/>
        </w:rPr>
        <w:tab/>
        <w:t>If an occupier gives notice of objection, the licensee must notify the Minister that entry is disputed.</w:t>
      </w:r>
    </w:p>
    <w:p w:rsidR="000524CC" w:rsidRDefault="000524CC" w:rsidP="000524CC">
      <w:pPr>
        <w:keepLines/>
        <w:tabs>
          <w:tab w:val="center" w:pos="397"/>
          <w:tab w:val="left" w:pos="794"/>
        </w:tabs>
        <w:autoSpaceDE w:val="0"/>
        <w:autoSpaceDN w:val="0"/>
        <w:adjustRightInd w:val="0"/>
        <w:spacing w:before="120"/>
        <w:ind w:left="794" w:hanging="794"/>
        <w:rPr>
          <w:color w:val="000000"/>
          <w:sz w:val="23"/>
          <w:szCs w:val="23"/>
        </w:rPr>
      </w:pPr>
      <w:r>
        <w:rPr>
          <w:color w:val="000000"/>
          <w:sz w:val="23"/>
          <w:szCs w:val="23"/>
        </w:rPr>
        <w:tab/>
        <w:t>(4)</w:t>
      </w:r>
      <w:r>
        <w:rPr>
          <w:color w:val="000000"/>
          <w:sz w:val="23"/>
          <w:szCs w:val="23"/>
        </w:rPr>
        <w:tab/>
        <w:t>When notice of disputed entry is given, the Minister may attempt to mediate between the parties in order to arrive at mutually satisfactory terms under which the licensee may enter the land and (if relevant) carry out regulated activities on the land.</w:t>
      </w:r>
    </w:p>
    <w:p w:rsidR="000524CC" w:rsidRDefault="000524CC" w:rsidP="000524CC">
      <w:pPr>
        <w:keepNext/>
        <w:keepLines/>
        <w:tabs>
          <w:tab w:val="center" w:pos="397"/>
          <w:tab w:val="left" w:pos="794"/>
        </w:tabs>
        <w:autoSpaceDE w:val="0"/>
        <w:autoSpaceDN w:val="0"/>
        <w:adjustRightInd w:val="0"/>
        <w:spacing w:before="120"/>
        <w:ind w:left="794" w:hanging="794"/>
        <w:rPr>
          <w:color w:val="000000"/>
          <w:sz w:val="23"/>
          <w:szCs w:val="23"/>
        </w:rPr>
      </w:pPr>
      <w:r>
        <w:rPr>
          <w:color w:val="000000"/>
          <w:sz w:val="23"/>
          <w:szCs w:val="23"/>
        </w:rPr>
        <w:tab/>
        <w:t>(5)</w:t>
      </w:r>
      <w:r>
        <w:rPr>
          <w:color w:val="000000"/>
          <w:sz w:val="23"/>
          <w:szCs w:val="23"/>
        </w:rPr>
        <w:tab/>
        <w:t>If—</w:t>
      </w:r>
    </w:p>
    <w:p w:rsidR="000524CC" w:rsidRDefault="000524CC" w:rsidP="000524CC">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(a)</w:t>
      </w:r>
      <w:r>
        <w:rPr>
          <w:color w:val="000000"/>
          <w:sz w:val="23"/>
          <w:szCs w:val="23"/>
        </w:rPr>
        <w:tab/>
      </w:r>
      <w:proofErr w:type="gramStart"/>
      <w:r>
        <w:rPr>
          <w:color w:val="000000"/>
          <w:sz w:val="23"/>
          <w:szCs w:val="23"/>
        </w:rPr>
        <w:t>the</w:t>
      </w:r>
      <w:proofErr w:type="gramEnd"/>
      <w:r>
        <w:rPr>
          <w:color w:val="000000"/>
          <w:sz w:val="23"/>
          <w:szCs w:val="23"/>
        </w:rPr>
        <w:t xml:space="preserve"> Minister decides against attempting to reach a settlement of the dispute by mediation; or</w:t>
      </w:r>
    </w:p>
    <w:p w:rsidR="000524CC" w:rsidRDefault="000524CC" w:rsidP="000524CC">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(b)</w:t>
      </w:r>
      <w:r>
        <w:rPr>
          <w:color w:val="000000"/>
          <w:sz w:val="23"/>
          <w:szCs w:val="23"/>
        </w:rPr>
        <w:tab/>
      </w:r>
      <w:proofErr w:type="gramStart"/>
      <w:r>
        <w:rPr>
          <w:color w:val="000000"/>
          <w:sz w:val="23"/>
          <w:szCs w:val="23"/>
        </w:rPr>
        <w:t>an</w:t>
      </w:r>
      <w:proofErr w:type="gramEnd"/>
      <w:r>
        <w:rPr>
          <w:color w:val="000000"/>
          <w:sz w:val="23"/>
          <w:szCs w:val="23"/>
        </w:rPr>
        <w:t xml:space="preserve"> attempt is made but the dispute is not resolved within a period fixed in the regulations for the purposes of this paragraph,</w:t>
      </w:r>
    </w:p>
    <w:p w:rsidR="000524CC" w:rsidRDefault="000524CC" w:rsidP="000524CC">
      <w:pPr>
        <w:keepLines/>
        <w:autoSpaceDE w:val="0"/>
        <w:autoSpaceDN w:val="0"/>
        <w:adjustRightInd w:val="0"/>
        <w:spacing w:before="120"/>
        <w:ind w:left="794"/>
        <w:rPr>
          <w:color w:val="000000"/>
          <w:sz w:val="23"/>
          <w:szCs w:val="23"/>
        </w:rPr>
      </w:pPr>
      <w:proofErr w:type="gramStart"/>
      <w:r>
        <w:rPr>
          <w:color w:val="000000"/>
          <w:sz w:val="23"/>
          <w:szCs w:val="23"/>
        </w:rPr>
        <w:t>either</w:t>
      </w:r>
      <w:proofErr w:type="gramEnd"/>
      <w:r>
        <w:rPr>
          <w:color w:val="000000"/>
          <w:sz w:val="23"/>
          <w:szCs w:val="23"/>
        </w:rPr>
        <w:t xml:space="preserve"> the licensee or the owner may apply to the Warden's Court for a resolution of the dispute.</w:t>
      </w:r>
    </w:p>
    <w:p w:rsidR="000524CC" w:rsidRDefault="000524CC" w:rsidP="000524CC">
      <w:pPr>
        <w:keepLines/>
        <w:tabs>
          <w:tab w:val="center" w:pos="397"/>
          <w:tab w:val="left" w:pos="794"/>
        </w:tabs>
        <w:autoSpaceDE w:val="0"/>
        <w:autoSpaceDN w:val="0"/>
        <w:adjustRightInd w:val="0"/>
        <w:spacing w:before="120"/>
        <w:ind w:left="794" w:hanging="794"/>
        <w:rPr>
          <w:color w:val="000000"/>
          <w:sz w:val="23"/>
          <w:szCs w:val="23"/>
        </w:rPr>
      </w:pPr>
      <w:r>
        <w:rPr>
          <w:color w:val="000000"/>
          <w:sz w:val="23"/>
          <w:szCs w:val="23"/>
        </w:rPr>
        <w:lastRenderedPageBreak/>
        <w:tab/>
        <w:t>(6)</w:t>
      </w:r>
      <w:r>
        <w:rPr>
          <w:color w:val="000000"/>
          <w:sz w:val="23"/>
          <w:szCs w:val="23"/>
        </w:rPr>
        <w:tab/>
        <w:t>The Warden's Court may, on an application under this section, determine terms on which the licensee may enter the land and carry out regulated activities on the land.</w:t>
      </w:r>
    </w:p>
    <w:p w:rsidR="000524CC" w:rsidRDefault="000524CC" w:rsidP="000524CC">
      <w:pPr>
        <w:pStyle w:val="clausehead"/>
      </w:pPr>
      <w:bookmarkStart w:id="4" w:name="Elkera_Print_TOC95"/>
      <w:r>
        <w:t>63—Landowner's right to compensation</w:t>
      </w:r>
      <w:bookmarkEnd w:id="4"/>
    </w:p>
    <w:p w:rsidR="000524CC" w:rsidRDefault="000524CC" w:rsidP="000524CC">
      <w:pPr>
        <w:keepLines/>
        <w:tabs>
          <w:tab w:val="center" w:pos="397"/>
          <w:tab w:val="left" w:pos="794"/>
        </w:tabs>
        <w:autoSpaceDE w:val="0"/>
        <w:autoSpaceDN w:val="0"/>
        <w:adjustRightInd w:val="0"/>
        <w:spacing w:before="120"/>
        <w:ind w:left="794" w:hanging="794"/>
        <w:rPr>
          <w:color w:val="000000"/>
          <w:sz w:val="23"/>
          <w:szCs w:val="23"/>
        </w:rPr>
      </w:pPr>
      <w:r>
        <w:rPr>
          <w:color w:val="000000"/>
          <w:sz w:val="23"/>
          <w:szCs w:val="23"/>
        </w:rPr>
        <w:tab/>
        <w:t>(1)</w:t>
      </w:r>
      <w:r>
        <w:rPr>
          <w:color w:val="000000"/>
          <w:sz w:val="23"/>
          <w:szCs w:val="23"/>
        </w:rPr>
        <w:tab/>
        <w:t>The owner of land is entitled to compensation from a licensee who enters the land and carries out regulated activities under this Act.</w:t>
      </w:r>
    </w:p>
    <w:p w:rsidR="000524CC" w:rsidRDefault="000524CC" w:rsidP="000524CC">
      <w:pPr>
        <w:keepNext/>
        <w:keepLines/>
        <w:tabs>
          <w:tab w:val="center" w:pos="397"/>
          <w:tab w:val="left" w:pos="794"/>
        </w:tabs>
        <w:autoSpaceDE w:val="0"/>
        <w:autoSpaceDN w:val="0"/>
        <w:adjustRightInd w:val="0"/>
        <w:spacing w:before="120"/>
        <w:ind w:left="794" w:hanging="794"/>
        <w:rPr>
          <w:color w:val="000000"/>
          <w:sz w:val="23"/>
          <w:szCs w:val="23"/>
        </w:rPr>
      </w:pPr>
      <w:r>
        <w:rPr>
          <w:color w:val="000000"/>
          <w:sz w:val="23"/>
          <w:szCs w:val="23"/>
        </w:rPr>
        <w:tab/>
        <w:t>(2)</w:t>
      </w:r>
      <w:r>
        <w:rPr>
          <w:color w:val="000000"/>
          <w:sz w:val="23"/>
          <w:szCs w:val="23"/>
        </w:rPr>
        <w:tab/>
        <w:t>The compensation is to cover—</w:t>
      </w:r>
    </w:p>
    <w:p w:rsidR="000524CC" w:rsidRDefault="000524CC" w:rsidP="000524CC">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(a)</w:t>
      </w:r>
      <w:r>
        <w:rPr>
          <w:color w:val="000000"/>
          <w:sz w:val="23"/>
          <w:szCs w:val="23"/>
        </w:rPr>
        <w:tab/>
      </w:r>
      <w:proofErr w:type="gramStart"/>
      <w:r>
        <w:rPr>
          <w:color w:val="000000"/>
          <w:sz w:val="23"/>
          <w:szCs w:val="23"/>
        </w:rPr>
        <w:t>deprivation</w:t>
      </w:r>
      <w:proofErr w:type="gramEnd"/>
      <w:r>
        <w:rPr>
          <w:color w:val="000000"/>
          <w:sz w:val="23"/>
          <w:szCs w:val="23"/>
        </w:rPr>
        <w:t xml:space="preserve"> or impairment of the use and enjoyment of the land; and</w:t>
      </w:r>
    </w:p>
    <w:p w:rsidR="000524CC" w:rsidRDefault="000524CC" w:rsidP="000524CC">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(b)</w:t>
      </w:r>
      <w:r>
        <w:rPr>
          <w:color w:val="000000"/>
          <w:sz w:val="23"/>
          <w:szCs w:val="23"/>
        </w:rPr>
        <w:tab/>
      </w:r>
      <w:proofErr w:type="gramStart"/>
      <w:r>
        <w:rPr>
          <w:color w:val="000000"/>
          <w:sz w:val="23"/>
          <w:szCs w:val="23"/>
        </w:rPr>
        <w:t>damage</w:t>
      </w:r>
      <w:proofErr w:type="gramEnd"/>
      <w:r>
        <w:rPr>
          <w:color w:val="000000"/>
          <w:sz w:val="23"/>
          <w:szCs w:val="23"/>
        </w:rPr>
        <w:t xml:space="preserve"> to the land (not including damage that has been made good by the licensee); and</w:t>
      </w:r>
    </w:p>
    <w:p w:rsidR="000524CC" w:rsidRDefault="000524CC" w:rsidP="000524CC">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(c)</w:t>
      </w:r>
      <w:r>
        <w:rPr>
          <w:color w:val="000000"/>
          <w:sz w:val="23"/>
          <w:szCs w:val="23"/>
        </w:rPr>
        <w:tab/>
      </w:r>
      <w:proofErr w:type="gramStart"/>
      <w:r>
        <w:rPr>
          <w:color w:val="000000"/>
          <w:sz w:val="23"/>
          <w:szCs w:val="23"/>
        </w:rPr>
        <w:t>damage</w:t>
      </w:r>
      <w:proofErr w:type="gramEnd"/>
      <w:r>
        <w:rPr>
          <w:color w:val="000000"/>
          <w:sz w:val="23"/>
          <w:szCs w:val="23"/>
        </w:rPr>
        <w:t xml:space="preserve"> to, or disturbance of, any business or other activity lawfully conducted on the land; and</w:t>
      </w:r>
    </w:p>
    <w:p w:rsidR="000524CC" w:rsidRDefault="000524CC" w:rsidP="000524CC">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(d)</w:t>
      </w:r>
      <w:r>
        <w:rPr>
          <w:color w:val="000000"/>
          <w:sz w:val="23"/>
          <w:szCs w:val="23"/>
        </w:rPr>
        <w:tab/>
      </w:r>
      <w:proofErr w:type="gramStart"/>
      <w:r>
        <w:rPr>
          <w:color w:val="000000"/>
          <w:sz w:val="23"/>
          <w:szCs w:val="23"/>
        </w:rPr>
        <w:t>consequential</w:t>
      </w:r>
      <w:proofErr w:type="gramEnd"/>
      <w:r>
        <w:rPr>
          <w:color w:val="000000"/>
          <w:sz w:val="23"/>
          <w:szCs w:val="23"/>
        </w:rPr>
        <w:t xml:space="preserve"> loss suffered or incurred by the owner on account of the licensee entering the land and carrying out regulated activities under the Act.</w:t>
      </w:r>
    </w:p>
    <w:p w:rsidR="000524CC" w:rsidRDefault="000524CC" w:rsidP="000524CC">
      <w:pPr>
        <w:keepLines/>
        <w:tabs>
          <w:tab w:val="center" w:pos="397"/>
          <w:tab w:val="left" w:pos="794"/>
        </w:tabs>
        <w:autoSpaceDE w:val="0"/>
        <w:autoSpaceDN w:val="0"/>
        <w:adjustRightInd w:val="0"/>
        <w:spacing w:before="120"/>
        <w:ind w:left="794" w:hanging="794"/>
        <w:rPr>
          <w:color w:val="000000"/>
          <w:sz w:val="23"/>
          <w:szCs w:val="23"/>
        </w:rPr>
      </w:pPr>
      <w:r>
        <w:rPr>
          <w:color w:val="000000"/>
          <w:sz w:val="23"/>
          <w:szCs w:val="23"/>
        </w:rPr>
        <w:tab/>
        <w:t>(3)</w:t>
      </w:r>
      <w:r>
        <w:rPr>
          <w:color w:val="000000"/>
          <w:sz w:val="23"/>
          <w:szCs w:val="23"/>
        </w:rPr>
        <w:tab/>
        <w:t>The compensation is not to be related to the value or possible value of regulated resources contained in the land.</w:t>
      </w:r>
    </w:p>
    <w:p w:rsidR="000524CC" w:rsidRDefault="000524CC" w:rsidP="000524CC">
      <w:pPr>
        <w:keepLines/>
        <w:tabs>
          <w:tab w:val="center" w:pos="397"/>
          <w:tab w:val="left" w:pos="794"/>
        </w:tabs>
        <w:autoSpaceDE w:val="0"/>
        <w:autoSpaceDN w:val="0"/>
        <w:adjustRightInd w:val="0"/>
        <w:spacing w:before="120"/>
        <w:ind w:left="794" w:hanging="794"/>
        <w:rPr>
          <w:color w:val="000000"/>
          <w:sz w:val="23"/>
          <w:szCs w:val="23"/>
        </w:rPr>
      </w:pPr>
      <w:r>
        <w:rPr>
          <w:color w:val="000000"/>
          <w:sz w:val="23"/>
          <w:szCs w:val="23"/>
        </w:rPr>
        <w:tab/>
        <w:t>(3a)</w:t>
      </w:r>
      <w:r>
        <w:rPr>
          <w:color w:val="000000"/>
          <w:sz w:val="23"/>
          <w:szCs w:val="23"/>
        </w:rPr>
        <w:tab/>
      </w:r>
      <w:proofErr w:type="gramStart"/>
      <w:r>
        <w:rPr>
          <w:color w:val="000000"/>
          <w:sz w:val="23"/>
          <w:szCs w:val="23"/>
        </w:rPr>
        <w:t>The</w:t>
      </w:r>
      <w:proofErr w:type="gramEnd"/>
      <w:r>
        <w:rPr>
          <w:color w:val="000000"/>
          <w:sz w:val="23"/>
          <w:szCs w:val="23"/>
        </w:rPr>
        <w:t xml:space="preserve"> compensation may include an additional component to cover reasonable costs reasonably incurred by an owner in connection with any negotiation or dispute related to-</w:t>
      </w:r>
    </w:p>
    <w:p w:rsidR="000524CC" w:rsidRDefault="000524CC" w:rsidP="000524CC">
      <w:pPr>
        <w:keepLines/>
        <w:tabs>
          <w:tab w:val="center" w:pos="397"/>
          <w:tab w:val="left" w:pos="794"/>
          <w:tab w:val="left" w:pos="1080"/>
          <w:tab w:val="left" w:pos="1620"/>
        </w:tabs>
        <w:autoSpaceDE w:val="0"/>
        <w:autoSpaceDN w:val="0"/>
        <w:adjustRightInd w:val="0"/>
        <w:spacing w:before="120"/>
        <w:ind w:left="794" w:hanging="794"/>
        <w:rPr>
          <w:color w:val="000000"/>
          <w:sz w:val="23"/>
          <w:szCs w:val="23"/>
        </w:rPr>
      </w:pPr>
      <w:r>
        <w:rPr>
          <w:color w:val="000000"/>
          <w:sz w:val="23"/>
          <w:szCs w:val="23"/>
        </w:rPr>
        <w:tab/>
      </w:r>
      <w:r>
        <w:rPr>
          <w:color w:val="000000"/>
          <w:sz w:val="23"/>
          <w:szCs w:val="23"/>
        </w:rPr>
        <w:tab/>
      </w:r>
      <w:r>
        <w:rPr>
          <w:color w:val="000000"/>
          <w:sz w:val="23"/>
          <w:szCs w:val="23"/>
        </w:rPr>
        <w:tab/>
        <w:t>(a)</w:t>
      </w:r>
      <w:r>
        <w:rPr>
          <w:color w:val="000000"/>
          <w:sz w:val="23"/>
          <w:szCs w:val="23"/>
        </w:rPr>
        <w:tab/>
      </w:r>
      <w:proofErr w:type="gramStart"/>
      <w:r>
        <w:rPr>
          <w:color w:val="000000"/>
          <w:sz w:val="23"/>
          <w:szCs w:val="23"/>
        </w:rPr>
        <w:t>the</w:t>
      </w:r>
      <w:proofErr w:type="gramEnd"/>
      <w:r>
        <w:rPr>
          <w:color w:val="000000"/>
          <w:sz w:val="23"/>
          <w:szCs w:val="23"/>
        </w:rPr>
        <w:t xml:space="preserve"> licensee gaining access to the land; and</w:t>
      </w:r>
    </w:p>
    <w:p w:rsidR="000524CC" w:rsidRDefault="000524CC" w:rsidP="000524CC">
      <w:pPr>
        <w:keepLines/>
        <w:tabs>
          <w:tab w:val="center" w:pos="397"/>
          <w:tab w:val="left" w:pos="794"/>
          <w:tab w:val="left" w:pos="1080"/>
          <w:tab w:val="left" w:pos="1620"/>
        </w:tabs>
        <w:autoSpaceDE w:val="0"/>
        <w:autoSpaceDN w:val="0"/>
        <w:adjustRightInd w:val="0"/>
        <w:spacing w:before="120"/>
        <w:ind w:left="794" w:hanging="794"/>
        <w:rPr>
          <w:color w:val="000000"/>
          <w:sz w:val="23"/>
          <w:szCs w:val="23"/>
        </w:rPr>
      </w:pPr>
      <w:r>
        <w:rPr>
          <w:color w:val="000000"/>
          <w:sz w:val="23"/>
          <w:szCs w:val="23"/>
        </w:rPr>
        <w:tab/>
      </w:r>
      <w:r>
        <w:rPr>
          <w:color w:val="000000"/>
          <w:sz w:val="23"/>
          <w:szCs w:val="23"/>
        </w:rPr>
        <w:tab/>
      </w:r>
      <w:r>
        <w:rPr>
          <w:color w:val="000000"/>
          <w:sz w:val="23"/>
          <w:szCs w:val="23"/>
        </w:rPr>
        <w:tab/>
        <w:t>(b)</w:t>
      </w:r>
      <w:r>
        <w:rPr>
          <w:color w:val="000000"/>
          <w:sz w:val="23"/>
          <w:szCs w:val="23"/>
        </w:rPr>
        <w:tab/>
      </w:r>
      <w:proofErr w:type="gramStart"/>
      <w:r>
        <w:rPr>
          <w:color w:val="000000"/>
          <w:sz w:val="23"/>
          <w:szCs w:val="23"/>
        </w:rPr>
        <w:t>the</w:t>
      </w:r>
      <w:proofErr w:type="gramEnd"/>
      <w:r>
        <w:rPr>
          <w:color w:val="000000"/>
          <w:sz w:val="23"/>
          <w:szCs w:val="23"/>
        </w:rPr>
        <w:t xml:space="preserve"> activities to be carried out on the land; and</w:t>
      </w:r>
    </w:p>
    <w:p w:rsidR="000524CC" w:rsidRDefault="000524CC" w:rsidP="000524CC">
      <w:pPr>
        <w:keepLines/>
        <w:tabs>
          <w:tab w:val="center" w:pos="397"/>
          <w:tab w:val="left" w:pos="794"/>
          <w:tab w:val="left" w:pos="1080"/>
          <w:tab w:val="left" w:pos="1620"/>
        </w:tabs>
        <w:autoSpaceDE w:val="0"/>
        <w:autoSpaceDN w:val="0"/>
        <w:adjustRightInd w:val="0"/>
        <w:spacing w:before="120"/>
        <w:ind w:left="794" w:hanging="794"/>
        <w:rPr>
          <w:color w:val="000000"/>
          <w:sz w:val="23"/>
          <w:szCs w:val="23"/>
        </w:rPr>
      </w:pPr>
      <w:r>
        <w:rPr>
          <w:color w:val="000000"/>
          <w:sz w:val="23"/>
          <w:szCs w:val="23"/>
        </w:rPr>
        <w:tab/>
      </w:r>
      <w:r>
        <w:rPr>
          <w:color w:val="000000"/>
          <w:sz w:val="23"/>
          <w:szCs w:val="23"/>
        </w:rPr>
        <w:tab/>
      </w:r>
      <w:r>
        <w:rPr>
          <w:color w:val="000000"/>
          <w:sz w:val="23"/>
          <w:szCs w:val="23"/>
        </w:rPr>
        <w:tab/>
        <w:t>(c)</w:t>
      </w:r>
      <w:r>
        <w:rPr>
          <w:color w:val="000000"/>
          <w:sz w:val="23"/>
          <w:szCs w:val="23"/>
        </w:rPr>
        <w:tab/>
      </w:r>
      <w:proofErr w:type="gramStart"/>
      <w:r>
        <w:rPr>
          <w:color w:val="000000"/>
          <w:sz w:val="23"/>
          <w:szCs w:val="23"/>
        </w:rPr>
        <w:t>the</w:t>
      </w:r>
      <w:proofErr w:type="gramEnd"/>
      <w:r>
        <w:rPr>
          <w:color w:val="000000"/>
          <w:sz w:val="23"/>
          <w:szCs w:val="23"/>
        </w:rPr>
        <w:t xml:space="preserve"> compensation to be paid under subsection (2).</w:t>
      </w:r>
    </w:p>
    <w:p w:rsidR="000524CC" w:rsidRDefault="000524CC" w:rsidP="000524CC">
      <w:pPr>
        <w:keepLines/>
        <w:tabs>
          <w:tab w:val="center" w:pos="397"/>
          <w:tab w:val="left" w:pos="794"/>
        </w:tabs>
        <w:autoSpaceDE w:val="0"/>
        <w:autoSpaceDN w:val="0"/>
        <w:adjustRightInd w:val="0"/>
        <w:spacing w:before="120"/>
        <w:ind w:left="794" w:hanging="794"/>
        <w:rPr>
          <w:color w:val="000000"/>
          <w:sz w:val="23"/>
          <w:szCs w:val="23"/>
        </w:rPr>
      </w:pPr>
      <w:r>
        <w:rPr>
          <w:color w:val="000000"/>
          <w:sz w:val="23"/>
          <w:szCs w:val="23"/>
        </w:rPr>
        <w:tab/>
        <w:t>(4)</w:t>
      </w:r>
      <w:r>
        <w:rPr>
          <w:color w:val="000000"/>
          <w:sz w:val="23"/>
          <w:szCs w:val="23"/>
        </w:rPr>
        <w:tab/>
        <w:t>The compensation is to be determined by agreement or in default of agreement by the relevant court.</w:t>
      </w:r>
    </w:p>
    <w:p w:rsidR="000524CC" w:rsidRDefault="000524CC" w:rsidP="000524CC">
      <w:pPr>
        <w:keepLines/>
        <w:tabs>
          <w:tab w:val="center" w:pos="397"/>
          <w:tab w:val="left" w:pos="794"/>
        </w:tabs>
        <w:autoSpaceDE w:val="0"/>
        <w:autoSpaceDN w:val="0"/>
        <w:adjustRightInd w:val="0"/>
        <w:spacing w:before="120"/>
        <w:ind w:left="794" w:hanging="794"/>
        <w:rPr>
          <w:color w:val="000000"/>
          <w:sz w:val="23"/>
          <w:szCs w:val="23"/>
        </w:rPr>
      </w:pPr>
      <w:r>
        <w:rPr>
          <w:color w:val="000000"/>
          <w:sz w:val="23"/>
          <w:szCs w:val="23"/>
        </w:rPr>
        <w:tab/>
        <w:t>(5)</w:t>
      </w:r>
      <w:r>
        <w:rPr>
          <w:color w:val="000000"/>
          <w:sz w:val="23"/>
          <w:szCs w:val="23"/>
        </w:rPr>
        <w:tab/>
        <w:t xml:space="preserve">In assessing compensation under subsection (3a), costs in connection with any negotiation or dispute will not </w:t>
      </w:r>
      <w:proofErr w:type="spellStart"/>
      <w:r>
        <w:rPr>
          <w:color w:val="000000"/>
          <w:sz w:val="23"/>
          <w:szCs w:val="23"/>
        </w:rPr>
        <w:t>taken</w:t>
      </w:r>
      <w:proofErr w:type="spellEnd"/>
      <w:r>
        <w:rPr>
          <w:color w:val="000000"/>
          <w:sz w:val="23"/>
          <w:szCs w:val="23"/>
        </w:rPr>
        <w:t xml:space="preserve"> to be reasonably incurred if they arise during any period when a reasonable offer of compensation is open to be accepted by the relevant owner of the land.</w:t>
      </w:r>
    </w:p>
    <w:p w:rsidR="000524CC" w:rsidRDefault="000524CC" w:rsidP="000524CC">
      <w:pPr>
        <w:keepLines/>
        <w:tabs>
          <w:tab w:val="center" w:pos="397"/>
          <w:tab w:val="left" w:pos="794"/>
        </w:tabs>
        <w:autoSpaceDE w:val="0"/>
        <w:autoSpaceDN w:val="0"/>
        <w:adjustRightInd w:val="0"/>
        <w:spacing w:before="120"/>
        <w:ind w:left="794" w:hanging="794"/>
        <w:rPr>
          <w:color w:val="000000"/>
          <w:sz w:val="23"/>
          <w:szCs w:val="23"/>
        </w:rPr>
      </w:pPr>
      <w:r>
        <w:rPr>
          <w:color w:val="000000"/>
          <w:sz w:val="23"/>
          <w:szCs w:val="23"/>
        </w:rPr>
        <w:tab/>
        <w:t>(6)</w:t>
      </w:r>
      <w:r>
        <w:rPr>
          <w:color w:val="000000"/>
          <w:sz w:val="23"/>
          <w:szCs w:val="23"/>
        </w:rPr>
        <w:tab/>
        <w:t>In assessing compensation payable under this section, any other compensation paid or payable under this or any other Act or law to the owner or any other owner, insofar as is fair, reasonable and appropriate to do so and to the extent that the compensation relates to the same matter, damage or loss (as the case may require), must be taken into account.</w:t>
      </w:r>
    </w:p>
    <w:p w:rsidR="000524CC" w:rsidRDefault="000524CC" w:rsidP="000524CC">
      <w:pPr>
        <w:pStyle w:val="clausehead"/>
      </w:pPr>
      <w:bookmarkStart w:id="5" w:name="Elkera_Print_TOC96"/>
      <w:r>
        <w:t>64—Right to require acquisition of land</w:t>
      </w:r>
      <w:bookmarkEnd w:id="5"/>
    </w:p>
    <w:p w:rsidR="000524CC" w:rsidRDefault="000524CC" w:rsidP="000524CC">
      <w:pPr>
        <w:keepLines/>
        <w:tabs>
          <w:tab w:val="center" w:pos="397"/>
          <w:tab w:val="left" w:pos="794"/>
        </w:tabs>
        <w:autoSpaceDE w:val="0"/>
        <w:autoSpaceDN w:val="0"/>
        <w:adjustRightInd w:val="0"/>
        <w:spacing w:before="120"/>
        <w:ind w:left="794" w:hanging="794"/>
        <w:rPr>
          <w:color w:val="000000"/>
          <w:sz w:val="23"/>
          <w:szCs w:val="23"/>
        </w:rPr>
      </w:pPr>
      <w:r>
        <w:rPr>
          <w:color w:val="000000"/>
          <w:sz w:val="23"/>
          <w:szCs w:val="23"/>
        </w:rPr>
        <w:tab/>
        <w:t>(1)</w:t>
      </w:r>
      <w:r>
        <w:rPr>
          <w:color w:val="000000"/>
          <w:sz w:val="23"/>
          <w:szCs w:val="23"/>
        </w:rPr>
        <w:tab/>
        <w:t>If the activities of a licensee on land substantially impair the owner's use and enjoyment of the land, the owner may apply to the relevant court for an order under this section.</w:t>
      </w:r>
    </w:p>
    <w:p w:rsidR="000524CC" w:rsidRDefault="000524CC" w:rsidP="000524CC">
      <w:pPr>
        <w:keepNext/>
        <w:keepLines/>
        <w:tabs>
          <w:tab w:val="center" w:pos="397"/>
          <w:tab w:val="left" w:pos="794"/>
        </w:tabs>
        <w:autoSpaceDE w:val="0"/>
        <w:autoSpaceDN w:val="0"/>
        <w:adjustRightInd w:val="0"/>
        <w:spacing w:before="120"/>
        <w:ind w:left="794" w:hanging="794"/>
        <w:rPr>
          <w:color w:val="000000"/>
          <w:sz w:val="23"/>
          <w:szCs w:val="23"/>
        </w:rPr>
      </w:pPr>
      <w:r>
        <w:rPr>
          <w:color w:val="000000"/>
          <w:sz w:val="23"/>
          <w:szCs w:val="23"/>
        </w:rPr>
        <w:tab/>
        <w:t>(2)</w:t>
      </w:r>
      <w:r>
        <w:rPr>
          <w:color w:val="000000"/>
          <w:sz w:val="23"/>
          <w:szCs w:val="23"/>
        </w:rPr>
        <w:tab/>
        <w:t>The court may, on an application under this section—</w:t>
      </w:r>
    </w:p>
    <w:p w:rsidR="000524CC" w:rsidRDefault="000524CC" w:rsidP="000524CC">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(a)</w:t>
      </w:r>
      <w:r>
        <w:rPr>
          <w:color w:val="000000"/>
          <w:sz w:val="23"/>
          <w:szCs w:val="23"/>
        </w:rPr>
        <w:tab/>
      </w:r>
      <w:proofErr w:type="gramStart"/>
      <w:r>
        <w:rPr>
          <w:color w:val="000000"/>
          <w:sz w:val="23"/>
          <w:szCs w:val="23"/>
        </w:rPr>
        <w:t>make</w:t>
      </w:r>
      <w:proofErr w:type="gramEnd"/>
      <w:r>
        <w:rPr>
          <w:color w:val="000000"/>
          <w:sz w:val="23"/>
          <w:szCs w:val="23"/>
        </w:rPr>
        <w:t xml:space="preserve"> an order transferring the owner's land to the licensee; and</w:t>
      </w:r>
    </w:p>
    <w:p w:rsidR="000524CC" w:rsidRDefault="000524CC" w:rsidP="000524CC">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(b)</w:t>
      </w:r>
      <w:r>
        <w:rPr>
          <w:color w:val="000000"/>
          <w:sz w:val="23"/>
          <w:szCs w:val="23"/>
        </w:rPr>
        <w:tab/>
      </w:r>
      <w:proofErr w:type="gramStart"/>
      <w:r>
        <w:rPr>
          <w:color w:val="000000"/>
          <w:sz w:val="23"/>
          <w:szCs w:val="23"/>
        </w:rPr>
        <w:t>order</w:t>
      </w:r>
      <w:proofErr w:type="gramEnd"/>
      <w:r>
        <w:rPr>
          <w:color w:val="000000"/>
          <w:sz w:val="23"/>
          <w:szCs w:val="23"/>
        </w:rPr>
        <w:t xml:space="preserve"> the licensee to pay to the owner, by way of compensation—</w:t>
      </w:r>
    </w:p>
    <w:p w:rsidR="000524CC" w:rsidRDefault="000524CC" w:rsidP="000524CC">
      <w:pPr>
        <w:keepLines/>
        <w:tabs>
          <w:tab w:val="center" w:pos="1985"/>
          <w:tab w:val="left" w:pos="2520"/>
        </w:tabs>
        <w:autoSpaceDE w:val="0"/>
        <w:autoSpaceDN w:val="0"/>
        <w:adjustRightInd w:val="0"/>
        <w:spacing w:before="120"/>
        <w:ind w:left="2520" w:hanging="932"/>
        <w:rPr>
          <w:color w:val="000000"/>
          <w:sz w:val="23"/>
          <w:szCs w:val="23"/>
        </w:rPr>
      </w:pPr>
      <w:r>
        <w:rPr>
          <w:color w:val="000000"/>
          <w:sz w:val="23"/>
          <w:szCs w:val="23"/>
        </w:rPr>
        <w:tab/>
        <w:t>(</w:t>
      </w:r>
      <w:proofErr w:type="spellStart"/>
      <w:r>
        <w:rPr>
          <w:color w:val="000000"/>
          <w:sz w:val="23"/>
          <w:szCs w:val="23"/>
        </w:rPr>
        <w:t>i</w:t>
      </w:r>
      <w:proofErr w:type="spellEnd"/>
      <w:r>
        <w:rPr>
          <w:color w:val="000000"/>
          <w:sz w:val="23"/>
          <w:szCs w:val="23"/>
        </w:rPr>
        <w:t>)</w:t>
      </w:r>
      <w:r>
        <w:rPr>
          <w:color w:val="000000"/>
          <w:sz w:val="23"/>
          <w:szCs w:val="23"/>
        </w:rPr>
        <w:tab/>
      </w:r>
      <w:proofErr w:type="gramStart"/>
      <w:r>
        <w:rPr>
          <w:color w:val="000000"/>
          <w:sz w:val="23"/>
          <w:szCs w:val="23"/>
        </w:rPr>
        <w:t>an</w:t>
      </w:r>
      <w:proofErr w:type="gramEnd"/>
      <w:r>
        <w:rPr>
          <w:color w:val="000000"/>
          <w:sz w:val="23"/>
          <w:szCs w:val="23"/>
        </w:rPr>
        <w:t xml:space="preserve"> amount equivalent to the market value of the land; and</w:t>
      </w:r>
    </w:p>
    <w:p w:rsidR="000524CC" w:rsidRDefault="000524CC" w:rsidP="000524CC">
      <w:pPr>
        <w:keepLines/>
        <w:numPr>
          <w:ilvl w:val="0"/>
          <w:numId w:val="1"/>
        </w:numPr>
        <w:tabs>
          <w:tab w:val="clear" w:pos="2563"/>
          <w:tab w:val="center" w:pos="1985"/>
          <w:tab w:val="left" w:pos="2520"/>
        </w:tabs>
        <w:autoSpaceDE w:val="0"/>
        <w:autoSpaceDN w:val="0"/>
        <w:adjustRightInd w:val="0"/>
        <w:spacing w:before="120"/>
        <w:ind w:left="2520"/>
        <w:rPr>
          <w:color w:val="000000"/>
          <w:sz w:val="23"/>
          <w:szCs w:val="23"/>
        </w:rPr>
      </w:pPr>
      <w:proofErr w:type="gramStart"/>
      <w:r>
        <w:rPr>
          <w:color w:val="000000"/>
          <w:sz w:val="23"/>
          <w:szCs w:val="23"/>
        </w:rPr>
        <w:lastRenderedPageBreak/>
        <w:t>a</w:t>
      </w:r>
      <w:proofErr w:type="gramEnd"/>
      <w:r>
        <w:rPr>
          <w:color w:val="000000"/>
          <w:sz w:val="23"/>
          <w:szCs w:val="23"/>
        </w:rPr>
        <w:t xml:space="preserve"> further amount the court considers just by way of compensation for disturbance.</w:t>
      </w:r>
    </w:p>
    <w:p w:rsidR="000524CC" w:rsidRDefault="000524CC" w:rsidP="000524CC">
      <w:pPr>
        <w:widowControl w:val="0"/>
        <w:autoSpaceDE w:val="0"/>
        <w:autoSpaceDN w:val="0"/>
        <w:adjustRightInd w:val="0"/>
      </w:pPr>
    </w:p>
    <w:p w:rsidR="000524CC" w:rsidRPr="008D429B" w:rsidRDefault="000524CC" w:rsidP="000524CC">
      <w:pPr>
        <w:tabs>
          <w:tab w:val="left" w:pos="3150"/>
        </w:tabs>
        <w:jc w:val="both"/>
      </w:pPr>
    </w:p>
    <w:p w:rsidR="000524CC" w:rsidRDefault="000524CC" w:rsidP="000524CC"/>
    <w:sectPr w:rsidR="000524CC" w:rsidSect="00015A49">
      <w:headerReference w:type="default" r:id="rId8"/>
      <w:headerReference w:type="first" r:id="rId9"/>
      <w:footerReference w:type="first" r:id="rId10"/>
      <w:pgSz w:w="11906" w:h="16838"/>
      <w:pgMar w:top="1440" w:right="1440" w:bottom="1440" w:left="1440" w:header="45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5353" w:rsidRDefault="00F05353" w:rsidP="00015A49">
      <w:r>
        <w:separator/>
      </w:r>
    </w:p>
  </w:endnote>
  <w:endnote w:type="continuationSeparator" w:id="0">
    <w:p w:rsidR="00F05353" w:rsidRDefault="00F05353" w:rsidP="00015A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Frutiger LT Pro 45 Light">
    <w:panose1 w:val="00000000000000000000"/>
    <w:charset w:val="00"/>
    <w:family w:val="swiss"/>
    <w:notTrueType/>
    <w:pitch w:val="variable"/>
    <w:sig w:usb0="800000AF" w:usb1="5000204A" w:usb2="00000000" w:usb3="00000000" w:csb0="0000009B" w:csb1="00000000"/>
  </w:font>
  <w:font w:name="Myriad Pro">
    <w:altName w:val="Corbel"/>
    <w:panose1 w:val="00000000000000000000"/>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5A49" w:rsidRDefault="00015A49">
    <w:pPr>
      <w:pStyle w:val="Footer"/>
    </w:pPr>
    <w:r>
      <w:rPr>
        <w:noProof/>
        <w:lang w:eastAsia="en-AU"/>
      </w:rPr>
      <w:drawing>
        <wp:anchor distT="0" distB="0" distL="114300" distR="114300" simplePos="0" relativeHeight="251661312" behindDoc="1" locked="0" layoutInCell="1" allowOverlap="1">
          <wp:simplePos x="0" y="0"/>
          <wp:positionH relativeFrom="column">
            <wp:posOffset>5049434</wp:posOffset>
          </wp:positionH>
          <wp:positionV relativeFrom="paragraph">
            <wp:posOffset>-582001</wp:posOffset>
          </wp:positionV>
          <wp:extent cx="824100" cy="819150"/>
          <wp:effectExtent l="0" t="0" r="0" b="0"/>
          <wp:wrapTight wrapText="bothSides">
            <wp:wrapPolygon edited="0">
              <wp:start x="0" y="0"/>
              <wp:lineTo x="0" y="21098"/>
              <wp:lineTo x="20984" y="21098"/>
              <wp:lineTo x="20984"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rand_SouthAust1_RGB.jpg"/>
                  <pic:cNvPicPr/>
                </pic:nvPicPr>
                <pic:blipFill rotWithShape="1">
                  <a:blip r:embed="rId1" cstate="print">
                    <a:extLst>
                      <a:ext uri="{28A0092B-C50C-407E-A947-70E740481C1C}">
                        <a14:useLocalDpi xmlns:a14="http://schemas.microsoft.com/office/drawing/2010/main" val="0"/>
                      </a:ext>
                    </a:extLst>
                  </a:blip>
                  <a:srcRect l="10273" t="10786" r="10585" b="9545"/>
                  <a:stretch/>
                </pic:blipFill>
                <pic:spPr bwMode="auto">
                  <a:xfrm>
                    <a:off x="0" y="0"/>
                    <a:ext cx="824100" cy="8191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31B75" w:rsidRPr="0052329B">
      <w:rPr>
        <w:rFonts w:cs="Arial"/>
        <w:noProof/>
        <w:sz w:val="18"/>
        <w:szCs w:val="18"/>
        <w:lang w:eastAsia="en-AU"/>
      </w:rPr>
      <mc:AlternateContent>
        <mc:Choice Requires="wps">
          <w:drawing>
            <wp:anchor distT="45720" distB="45720" distL="114300" distR="114300" simplePos="0" relativeHeight="251665408" behindDoc="1" locked="0" layoutInCell="1" allowOverlap="1" wp14:anchorId="2F06EB69" wp14:editId="3781DA76">
              <wp:simplePos x="0" y="0"/>
              <wp:positionH relativeFrom="column">
                <wp:posOffset>-230505</wp:posOffset>
              </wp:positionH>
              <wp:positionV relativeFrom="paragraph">
                <wp:posOffset>-290195</wp:posOffset>
              </wp:positionV>
              <wp:extent cx="3962400" cy="1404620"/>
              <wp:effectExtent l="0" t="0" r="0" b="0"/>
              <wp:wrapTight wrapText="bothSides">
                <wp:wrapPolygon edited="0">
                  <wp:start x="312" y="0"/>
                  <wp:lineTo x="312" y="20978"/>
                  <wp:lineTo x="21185" y="20978"/>
                  <wp:lineTo x="21185" y="0"/>
                  <wp:lineTo x="312"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1404620"/>
                      </a:xfrm>
                      <a:prstGeom prst="rect">
                        <a:avLst/>
                      </a:prstGeom>
                      <a:noFill/>
                      <a:ln w="9525">
                        <a:noFill/>
                        <a:miter lim="800000"/>
                        <a:headEnd/>
                        <a:tailEnd/>
                      </a:ln>
                    </wps:spPr>
                    <wps:txbx>
                      <w:txbxContent>
                        <w:p w:rsidR="00F31B75" w:rsidRPr="00103BF6" w:rsidRDefault="00F31B75" w:rsidP="00F31B75">
                          <w:pPr>
                            <w:pStyle w:val="BasicParagraph"/>
                            <w:tabs>
                              <w:tab w:val="left" w:pos="360"/>
                            </w:tabs>
                            <w:suppressAutoHyphens/>
                            <w:spacing w:before="57" w:after="57"/>
                            <w:rPr>
                              <w:rFonts w:asciiTheme="minorHAnsi" w:hAnsiTheme="minorHAnsi" w:cs="Frutiger LT Pro 45 Light"/>
                              <w:b/>
                              <w:bCs/>
                              <w:color w:val="595959" w:themeColor="text1" w:themeTint="A6"/>
                              <w:sz w:val="16"/>
                              <w:szCs w:val="15"/>
                            </w:rPr>
                          </w:pPr>
                          <w:r>
                            <w:rPr>
                              <w:rFonts w:asciiTheme="minorHAnsi" w:hAnsiTheme="minorHAnsi" w:cs="Frutiger LT Pro 45 Light"/>
                              <w:b/>
                              <w:bCs/>
                              <w:color w:val="595959" w:themeColor="text1" w:themeTint="A6"/>
                              <w:sz w:val="16"/>
                              <w:szCs w:val="15"/>
                            </w:rPr>
                            <w:t>ENERGY RESOURCES DIVISION</w:t>
                          </w:r>
                        </w:p>
                        <w:p w:rsidR="00F31B75" w:rsidRPr="00103BF6" w:rsidRDefault="00F31B75" w:rsidP="00F31B75">
                          <w:pPr>
                            <w:pStyle w:val="BasicParagraph"/>
                            <w:tabs>
                              <w:tab w:val="left" w:pos="360"/>
                            </w:tabs>
                            <w:suppressAutoHyphens/>
                            <w:rPr>
                              <w:rFonts w:asciiTheme="minorHAnsi" w:hAnsiTheme="minorHAnsi" w:cs="Frutiger LT Pro 45 Light"/>
                              <w:color w:val="595959" w:themeColor="text1" w:themeTint="A6"/>
                              <w:sz w:val="16"/>
                              <w:szCs w:val="15"/>
                            </w:rPr>
                          </w:pPr>
                          <w:r>
                            <w:rPr>
                              <w:rFonts w:asciiTheme="minorHAnsi" w:hAnsiTheme="minorHAnsi" w:cs="Frutiger LT Pro 45 Light"/>
                              <w:color w:val="595959" w:themeColor="text1" w:themeTint="A6"/>
                              <w:sz w:val="16"/>
                              <w:szCs w:val="15"/>
                            </w:rPr>
                            <w:t xml:space="preserve">Level 7, 11 </w:t>
                          </w:r>
                          <w:proofErr w:type="spellStart"/>
                          <w:r>
                            <w:rPr>
                              <w:rFonts w:asciiTheme="minorHAnsi" w:hAnsiTheme="minorHAnsi" w:cs="Frutiger LT Pro 45 Light"/>
                              <w:color w:val="595959" w:themeColor="text1" w:themeTint="A6"/>
                              <w:sz w:val="16"/>
                              <w:szCs w:val="15"/>
                            </w:rPr>
                            <w:t>Waymouth</w:t>
                          </w:r>
                          <w:proofErr w:type="spellEnd"/>
                          <w:r>
                            <w:rPr>
                              <w:rFonts w:asciiTheme="minorHAnsi" w:hAnsiTheme="minorHAnsi" w:cs="Frutiger LT Pro 45 Light"/>
                              <w:color w:val="595959" w:themeColor="text1" w:themeTint="A6"/>
                              <w:sz w:val="16"/>
                              <w:szCs w:val="15"/>
                            </w:rPr>
                            <w:t xml:space="preserve"> Street, Adelaide SA 5000</w:t>
                          </w:r>
                          <w:r w:rsidRPr="00103BF6">
                            <w:rPr>
                              <w:rFonts w:asciiTheme="minorHAnsi" w:hAnsiTheme="minorHAnsi" w:cs="Frutiger LT Pro 45 Light"/>
                              <w:color w:val="595959" w:themeColor="text1" w:themeTint="A6"/>
                              <w:sz w:val="16"/>
                              <w:szCs w:val="15"/>
                            </w:rPr>
                            <w:t xml:space="preserve"> | GPO Box 320 Adelaide SA 5001 | DX452 </w:t>
                          </w:r>
                        </w:p>
                        <w:p w:rsidR="00F31B75" w:rsidRPr="0003524E" w:rsidRDefault="00F31B75" w:rsidP="00F31B75">
                          <w:pPr>
                            <w:rPr>
                              <w:rFonts w:ascii="Myriad Pro" w:hAnsi="Myriad Pro"/>
                              <w:color w:val="595959" w:themeColor="text1" w:themeTint="A6"/>
                              <w:sz w:val="18"/>
                              <w:szCs w:val="18"/>
                            </w:rPr>
                          </w:pPr>
                          <w:r>
                            <w:rPr>
                              <w:rFonts w:cs="Frutiger LT Pro 45 Light"/>
                              <w:color w:val="595959" w:themeColor="text1" w:themeTint="A6"/>
                              <w:sz w:val="16"/>
                              <w:szCs w:val="15"/>
                            </w:rPr>
                            <w:t xml:space="preserve">Tel (+61) 842 92430 | </w:t>
                          </w:r>
                          <w:r w:rsidRPr="00103BF6">
                            <w:rPr>
                              <w:rFonts w:cs="Frutiger LT Pro 45 Light"/>
                              <w:color w:val="595959" w:themeColor="text1" w:themeTint="A6"/>
                              <w:sz w:val="16"/>
                              <w:szCs w:val="15"/>
                            </w:rPr>
                            <w:t xml:space="preserve">ABN </w:t>
                          </w:r>
                          <w:r>
                            <w:rPr>
                              <w:rFonts w:cs="Frutiger LT Pro 45 Light"/>
                              <w:color w:val="595959" w:themeColor="text1" w:themeTint="A6"/>
                              <w:sz w:val="16"/>
                              <w:szCs w:val="15"/>
                            </w:rPr>
                            <w:t>83 768 683 934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F06EB69" id="_x0000_t202" coordsize="21600,21600" o:spt="202" path="m,l,21600r21600,l21600,xe">
              <v:stroke joinstyle="miter"/>
              <v:path gradientshapeok="t" o:connecttype="rect"/>
            </v:shapetype>
            <v:shape id="Text Box 2" o:spid="_x0000_s1026" type="#_x0000_t202" style="position:absolute;margin-left:-18.15pt;margin-top:-22.85pt;width:312pt;height:110.6pt;z-index:-2516510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" filled="f" stroked="f">
              <v:textbox style="mso-fit-shape-to-text:t">
                <w:txbxContent>
                  <w:p w:rsidR="00F31B75" w:rsidRPr="00103BF6" w:rsidRDefault="00F31B75" w:rsidP="00F31B75">
                    <w:pPr>
                      <w:pStyle w:val="BasicParagraph"/>
                      <w:tabs>
                        <w:tab w:val="left" w:pos="360"/>
                      </w:tabs>
                      <w:suppressAutoHyphens/>
                      <w:spacing w:before="57" w:after="57"/>
                      <w:rPr>
                        <w:rFonts w:asciiTheme="minorHAnsi" w:hAnsiTheme="minorHAnsi" w:cs="Frutiger LT Pro 45 Light"/>
                        <w:b/>
                        <w:bCs/>
                        <w:color w:val="595959" w:themeColor="text1" w:themeTint="A6"/>
                        <w:sz w:val="16"/>
                        <w:szCs w:val="15"/>
                      </w:rPr>
                    </w:pPr>
                    <w:r>
                      <w:rPr>
                        <w:rFonts w:asciiTheme="minorHAnsi" w:hAnsiTheme="minorHAnsi" w:cs="Frutiger LT Pro 45 Light"/>
                        <w:b/>
                        <w:bCs/>
                        <w:color w:val="595959" w:themeColor="text1" w:themeTint="A6"/>
                        <w:sz w:val="16"/>
                        <w:szCs w:val="15"/>
                      </w:rPr>
                      <w:t>ENERGY RESOURCES DIVISION</w:t>
                    </w:r>
                  </w:p>
                  <w:p w:rsidR="00F31B75" w:rsidRPr="00103BF6" w:rsidRDefault="00F31B75" w:rsidP="00F31B75">
                    <w:pPr>
                      <w:pStyle w:val="BasicParagraph"/>
                      <w:tabs>
                        <w:tab w:val="left" w:pos="360"/>
                      </w:tabs>
                      <w:suppressAutoHyphens/>
                      <w:rPr>
                        <w:rFonts w:asciiTheme="minorHAnsi" w:hAnsiTheme="minorHAnsi" w:cs="Frutiger LT Pro 45 Light"/>
                        <w:color w:val="595959" w:themeColor="text1" w:themeTint="A6"/>
                        <w:sz w:val="16"/>
                        <w:szCs w:val="15"/>
                      </w:rPr>
                    </w:pPr>
                    <w:r>
                      <w:rPr>
                        <w:rFonts w:asciiTheme="minorHAnsi" w:hAnsiTheme="minorHAnsi" w:cs="Frutiger LT Pro 45 Light"/>
                        <w:color w:val="595959" w:themeColor="text1" w:themeTint="A6"/>
                        <w:sz w:val="16"/>
                        <w:szCs w:val="15"/>
                      </w:rPr>
                      <w:t xml:space="preserve">Level 7, 11 </w:t>
                    </w:r>
                    <w:proofErr w:type="spellStart"/>
                    <w:r>
                      <w:rPr>
                        <w:rFonts w:asciiTheme="minorHAnsi" w:hAnsiTheme="minorHAnsi" w:cs="Frutiger LT Pro 45 Light"/>
                        <w:color w:val="595959" w:themeColor="text1" w:themeTint="A6"/>
                        <w:sz w:val="16"/>
                        <w:szCs w:val="15"/>
                      </w:rPr>
                      <w:t>Waymouth</w:t>
                    </w:r>
                    <w:proofErr w:type="spellEnd"/>
                    <w:r>
                      <w:rPr>
                        <w:rFonts w:asciiTheme="minorHAnsi" w:hAnsiTheme="minorHAnsi" w:cs="Frutiger LT Pro 45 Light"/>
                        <w:color w:val="595959" w:themeColor="text1" w:themeTint="A6"/>
                        <w:sz w:val="16"/>
                        <w:szCs w:val="15"/>
                      </w:rPr>
                      <w:t xml:space="preserve"> Street, Adelaide SA 5000</w:t>
                    </w:r>
                    <w:r w:rsidRPr="00103BF6">
                      <w:rPr>
                        <w:rFonts w:asciiTheme="minorHAnsi" w:hAnsiTheme="minorHAnsi" w:cs="Frutiger LT Pro 45 Light"/>
                        <w:color w:val="595959" w:themeColor="text1" w:themeTint="A6"/>
                        <w:sz w:val="16"/>
                        <w:szCs w:val="15"/>
                      </w:rPr>
                      <w:t xml:space="preserve"> | GPO Box 320 Adelaide SA 5001 | DX452 </w:t>
                    </w:r>
                  </w:p>
                  <w:p w:rsidR="00F31B75" w:rsidRPr="0003524E" w:rsidRDefault="00F31B75" w:rsidP="00F31B75">
                    <w:pPr>
                      <w:rPr>
                        <w:rFonts w:ascii="Myriad Pro" w:hAnsi="Myriad Pro"/>
                        <w:color w:val="595959" w:themeColor="text1" w:themeTint="A6"/>
                        <w:sz w:val="18"/>
                        <w:szCs w:val="18"/>
                      </w:rPr>
                    </w:pPr>
                    <w:r>
                      <w:rPr>
                        <w:rFonts w:cs="Frutiger LT Pro 45 Light"/>
                        <w:color w:val="595959" w:themeColor="text1" w:themeTint="A6"/>
                        <w:sz w:val="16"/>
                        <w:szCs w:val="15"/>
                      </w:rPr>
                      <w:t xml:space="preserve">Tel (+61) 842 92430 | </w:t>
                    </w:r>
                    <w:r w:rsidRPr="00103BF6">
                      <w:rPr>
                        <w:rFonts w:cs="Frutiger LT Pro 45 Light"/>
                        <w:color w:val="595959" w:themeColor="text1" w:themeTint="A6"/>
                        <w:sz w:val="16"/>
                        <w:szCs w:val="15"/>
                      </w:rPr>
                      <w:t xml:space="preserve">ABN </w:t>
                    </w:r>
                    <w:r>
                      <w:rPr>
                        <w:rFonts w:cs="Frutiger LT Pro 45 Light"/>
                        <w:color w:val="595959" w:themeColor="text1" w:themeTint="A6"/>
                        <w:sz w:val="16"/>
                        <w:szCs w:val="15"/>
                      </w:rPr>
                      <w:t>83 768 683 934</w:t>
                    </w:r>
                  </w:p>
                </w:txbxContent>
              </v:textbox>
              <w10:wrap type="tight"/>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5353" w:rsidRDefault="00F05353" w:rsidP="00015A49">
      <w:r>
        <w:separator/>
      </w:r>
    </w:p>
  </w:footnote>
  <w:footnote w:type="continuationSeparator" w:id="0">
    <w:p w:rsidR="00F05353" w:rsidRDefault="00F05353" w:rsidP="00015A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5D08" w:rsidRDefault="00DC5D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5A49" w:rsidRDefault="00F31B75">
    <w:pPr>
      <w:pStyle w:val="Header"/>
    </w:pPr>
    <w:r w:rsidRPr="0052329B">
      <w:rPr>
        <w:rFonts w:cs="Arial"/>
        <w:noProof/>
        <w:sz w:val="18"/>
        <w:szCs w:val="18"/>
        <w:lang w:eastAsia="en-AU"/>
      </w:rPr>
      <w:drawing>
        <wp:anchor distT="0" distB="0" distL="114300" distR="114300" simplePos="0" relativeHeight="251663360" behindDoc="0" locked="0" layoutInCell="1" allowOverlap="1" wp14:anchorId="343EC5A8" wp14:editId="67318716">
          <wp:simplePos x="0" y="0"/>
          <wp:positionH relativeFrom="column">
            <wp:posOffset>4055166</wp:posOffset>
          </wp:positionH>
          <wp:positionV relativeFrom="paragraph">
            <wp:posOffset>94477</wp:posOffset>
          </wp:positionV>
          <wp:extent cx="2333625" cy="528320"/>
          <wp:effectExtent l="0" t="0" r="9525" b="508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3625" cy="5283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479B0"/>
    <w:multiLevelType w:val="hybridMultilevel"/>
    <w:tmpl w:val="2260129A"/>
    <w:lvl w:ilvl="0" w:tplc="AC92E740">
      <w:start w:val="2"/>
      <w:numFmt w:val="lowerRoman"/>
      <w:lvlText w:val="(%1)"/>
      <w:lvlJc w:val="left"/>
      <w:pPr>
        <w:tabs>
          <w:tab w:val="num" w:pos="2563"/>
        </w:tabs>
        <w:ind w:left="2563" w:hanging="720"/>
      </w:pPr>
      <w:rPr>
        <w:rFonts w:hint="default"/>
      </w:rPr>
    </w:lvl>
    <w:lvl w:ilvl="1" w:tplc="04090019" w:tentative="1">
      <w:start w:val="1"/>
      <w:numFmt w:val="lowerLetter"/>
      <w:lvlText w:val="%2."/>
      <w:lvlJc w:val="left"/>
      <w:pPr>
        <w:tabs>
          <w:tab w:val="num" w:pos="2923"/>
        </w:tabs>
        <w:ind w:left="2923" w:hanging="360"/>
      </w:pPr>
    </w:lvl>
    <w:lvl w:ilvl="2" w:tplc="0409001B" w:tentative="1">
      <w:start w:val="1"/>
      <w:numFmt w:val="lowerRoman"/>
      <w:lvlText w:val="%3."/>
      <w:lvlJc w:val="right"/>
      <w:pPr>
        <w:tabs>
          <w:tab w:val="num" w:pos="3643"/>
        </w:tabs>
        <w:ind w:left="3643" w:hanging="180"/>
      </w:pPr>
    </w:lvl>
    <w:lvl w:ilvl="3" w:tplc="0409000F" w:tentative="1">
      <w:start w:val="1"/>
      <w:numFmt w:val="decimal"/>
      <w:lvlText w:val="%4."/>
      <w:lvlJc w:val="left"/>
      <w:pPr>
        <w:tabs>
          <w:tab w:val="num" w:pos="4363"/>
        </w:tabs>
        <w:ind w:left="4363" w:hanging="360"/>
      </w:pPr>
    </w:lvl>
    <w:lvl w:ilvl="4" w:tplc="04090019" w:tentative="1">
      <w:start w:val="1"/>
      <w:numFmt w:val="lowerLetter"/>
      <w:lvlText w:val="%5."/>
      <w:lvlJc w:val="left"/>
      <w:pPr>
        <w:tabs>
          <w:tab w:val="num" w:pos="5083"/>
        </w:tabs>
        <w:ind w:left="5083" w:hanging="360"/>
      </w:pPr>
    </w:lvl>
    <w:lvl w:ilvl="5" w:tplc="0409001B" w:tentative="1">
      <w:start w:val="1"/>
      <w:numFmt w:val="lowerRoman"/>
      <w:lvlText w:val="%6."/>
      <w:lvlJc w:val="right"/>
      <w:pPr>
        <w:tabs>
          <w:tab w:val="num" w:pos="5803"/>
        </w:tabs>
        <w:ind w:left="5803" w:hanging="180"/>
      </w:pPr>
    </w:lvl>
    <w:lvl w:ilvl="6" w:tplc="0409000F" w:tentative="1">
      <w:start w:val="1"/>
      <w:numFmt w:val="decimal"/>
      <w:lvlText w:val="%7."/>
      <w:lvlJc w:val="left"/>
      <w:pPr>
        <w:tabs>
          <w:tab w:val="num" w:pos="6523"/>
        </w:tabs>
        <w:ind w:left="6523" w:hanging="360"/>
      </w:pPr>
    </w:lvl>
    <w:lvl w:ilvl="7" w:tplc="04090019" w:tentative="1">
      <w:start w:val="1"/>
      <w:numFmt w:val="lowerLetter"/>
      <w:lvlText w:val="%8."/>
      <w:lvlJc w:val="left"/>
      <w:pPr>
        <w:tabs>
          <w:tab w:val="num" w:pos="7243"/>
        </w:tabs>
        <w:ind w:left="7243" w:hanging="360"/>
      </w:pPr>
    </w:lvl>
    <w:lvl w:ilvl="8" w:tplc="0409001B" w:tentative="1">
      <w:start w:val="1"/>
      <w:numFmt w:val="lowerRoman"/>
      <w:lvlText w:val="%9."/>
      <w:lvlJc w:val="right"/>
      <w:pPr>
        <w:tabs>
          <w:tab w:val="num" w:pos="7963"/>
        </w:tabs>
        <w:ind w:left="796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4CC"/>
    <w:rsid w:val="00015A49"/>
    <w:rsid w:val="000524CC"/>
    <w:rsid w:val="001602FB"/>
    <w:rsid w:val="002906A1"/>
    <w:rsid w:val="002C2524"/>
    <w:rsid w:val="007A0BBC"/>
    <w:rsid w:val="0081203B"/>
    <w:rsid w:val="009F3BEB"/>
    <w:rsid w:val="00B045B5"/>
    <w:rsid w:val="00DC5D08"/>
    <w:rsid w:val="00EC4418"/>
    <w:rsid w:val="00F05353"/>
    <w:rsid w:val="00F31B75"/>
    <w:rsid w:val="00F62AF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A0C6B4"/>
  <w15:chartTrackingRefBased/>
  <w15:docId w15:val="{B6BA6CC9-9FC5-40DC-946E-C7FE9D354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24CC"/>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0524CC"/>
    <w:pPr>
      <w:keepNext/>
      <w:suppressAutoHyphens/>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524CC"/>
    <w:rPr>
      <w:rFonts w:ascii="Arial" w:eastAsia="Times New Roman" w:hAnsi="Arial" w:cs="Times New Roman"/>
      <w:b/>
      <w:sz w:val="24"/>
      <w:szCs w:val="20"/>
    </w:rPr>
  </w:style>
  <w:style w:type="paragraph" w:styleId="BodyText">
    <w:name w:val="Body Text"/>
    <w:basedOn w:val="Normal"/>
    <w:link w:val="BodyTextChar"/>
    <w:rsid w:val="000524CC"/>
    <w:pPr>
      <w:tabs>
        <w:tab w:val="left" w:pos="-720"/>
      </w:tabs>
      <w:suppressAutoHyphens/>
    </w:pPr>
  </w:style>
  <w:style w:type="character" w:customStyle="1" w:styleId="BodyTextChar">
    <w:name w:val="Body Text Char"/>
    <w:basedOn w:val="DefaultParagraphFont"/>
    <w:link w:val="BodyText"/>
    <w:rsid w:val="000524CC"/>
    <w:rPr>
      <w:rFonts w:ascii="Arial" w:eastAsia="Times New Roman" w:hAnsi="Arial" w:cs="Times New Roman"/>
      <w:sz w:val="24"/>
      <w:szCs w:val="20"/>
    </w:rPr>
  </w:style>
  <w:style w:type="paragraph" w:customStyle="1" w:styleId="clausehead">
    <w:name w:val="clausehead"/>
    <w:rsid w:val="000524CC"/>
    <w:pPr>
      <w:keepNext/>
      <w:keepLines/>
      <w:autoSpaceDE w:val="0"/>
      <w:autoSpaceDN w:val="0"/>
      <w:adjustRightInd w:val="0"/>
      <w:spacing w:before="160" w:after="0" w:line="240" w:lineRule="auto"/>
      <w:ind w:left="567" w:hanging="567"/>
    </w:pPr>
    <w:rPr>
      <w:rFonts w:ascii="Times New Roman" w:eastAsia="Times New Roman" w:hAnsi="Times New Roman" w:cs="Times New Roman"/>
      <w:b/>
      <w:bCs/>
      <w:color w:val="000000"/>
      <w:sz w:val="26"/>
      <w:szCs w:val="26"/>
      <w:lang w:eastAsia="en-AU"/>
    </w:rPr>
  </w:style>
  <w:style w:type="character" w:styleId="Hyperlink">
    <w:name w:val="Hyperlink"/>
    <w:basedOn w:val="DefaultParagraphFont"/>
    <w:uiPriority w:val="99"/>
    <w:unhideWhenUsed/>
    <w:rsid w:val="000524CC"/>
    <w:rPr>
      <w:color w:val="0563C1" w:themeColor="hyperlink"/>
      <w:u w:val="single"/>
    </w:rPr>
  </w:style>
  <w:style w:type="paragraph" w:styleId="Header">
    <w:name w:val="header"/>
    <w:basedOn w:val="Normal"/>
    <w:link w:val="HeaderChar"/>
    <w:uiPriority w:val="99"/>
    <w:unhideWhenUsed/>
    <w:rsid w:val="00015A49"/>
    <w:pPr>
      <w:tabs>
        <w:tab w:val="center" w:pos="4513"/>
        <w:tab w:val="right" w:pos="9026"/>
      </w:tabs>
    </w:pPr>
  </w:style>
  <w:style w:type="character" w:customStyle="1" w:styleId="HeaderChar">
    <w:name w:val="Header Char"/>
    <w:basedOn w:val="DefaultParagraphFont"/>
    <w:link w:val="Header"/>
    <w:uiPriority w:val="99"/>
    <w:rsid w:val="00015A49"/>
    <w:rPr>
      <w:rFonts w:ascii="Arial" w:eastAsia="Times New Roman" w:hAnsi="Arial" w:cs="Times New Roman"/>
      <w:sz w:val="24"/>
      <w:szCs w:val="20"/>
    </w:rPr>
  </w:style>
  <w:style w:type="paragraph" w:styleId="Footer">
    <w:name w:val="footer"/>
    <w:basedOn w:val="Normal"/>
    <w:link w:val="FooterChar"/>
    <w:uiPriority w:val="99"/>
    <w:unhideWhenUsed/>
    <w:rsid w:val="00015A49"/>
    <w:pPr>
      <w:tabs>
        <w:tab w:val="center" w:pos="4513"/>
        <w:tab w:val="right" w:pos="9026"/>
      </w:tabs>
    </w:pPr>
  </w:style>
  <w:style w:type="character" w:customStyle="1" w:styleId="FooterChar">
    <w:name w:val="Footer Char"/>
    <w:basedOn w:val="DefaultParagraphFont"/>
    <w:link w:val="Footer"/>
    <w:uiPriority w:val="99"/>
    <w:rsid w:val="00015A49"/>
    <w:rPr>
      <w:rFonts w:ascii="Arial" w:eastAsia="Times New Roman" w:hAnsi="Arial" w:cs="Times New Roman"/>
      <w:sz w:val="24"/>
      <w:szCs w:val="20"/>
    </w:rPr>
  </w:style>
  <w:style w:type="paragraph" w:customStyle="1" w:styleId="BasicParagraph">
    <w:name w:val="[Basic Paragraph]"/>
    <w:basedOn w:val="Normal"/>
    <w:uiPriority w:val="99"/>
    <w:rsid w:val="00F31B75"/>
    <w:pPr>
      <w:autoSpaceDE w:val="0"/>
      <w:autoSpaceDN w:val="0"/>
      <w:adjustRightInd w:val="0"/>
      <w:spacing w:line="288" w:lineRule="auto"/>
      <w:textAlignment w:val="center"/>
    </w:pPr>
    <w:rPr>
      <w:rFonts w:ascii="Minion Pro" w:eastAsiaTheme="minorHAnsi" w:hAnsi="Minion Pro" w:cs="Minion Pro"/>
      <w:color w:val="000000"/>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ichael.malavazos@sa.gov.a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1297</Words>
  <Characters>7396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PIRSA</Company>
  <LinksUpToDate>false</LinksUpToDate>
  <CharactersWithSpaces>8676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Bunn</dc:creator>
  <cp:keywords/>
  <dc:description/>
  <cp:lastModifiedBy>Stacey Bunn</cp:lastModifiedBy>
  <cp:revision>4</cp:revision>
  <dcterms:created xsi:type="dcterms:W3CDTF">2018-08-27T06:48:00Z</dcterms:created>
  <dcterms:modified xsi:type="dcterms:W3CDTF">2018-08-27T06:56:00Z</dcterms:modified>
</cp:coreProperties>
</file>