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0" w:lineRule="exact"/>
        <w:ind w:left="3926" w:right="-20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2"/>
        </w:rPr>
        <w:t>Executive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2"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2"/>
        </w:rPr>
        <w:t>Summary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610" w:top="1560" w:bottom="800" w:left="1020" w:right="1040"/>
          <w:footerReference w:type="odd" r:id="rId5"/>
          <w:footerReference w:type="even" r:id="rId6"/>
          <w:type w:val="continuous"/>
          <w:pgSz w:w="11920" w:h="16840"/>
        </w:sectPr>
      </w:pPr>
      <w:rPr/>
    </w:p>
    <w:p>
      <w:pPr>
        <w:spacing w:before="29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0pt;margin-top:0pt;width:285.385638pt;height:183.058315pt;mso-position-horizontal-relative:page;mso-position-vertical-relative:page;z-index:-325" coordorigin="0,0" coordsize="5708,3661">
            <v:group style="position:absolute;left:0;top:0;width:5698;height:3651" coordorigin="0,0" coordsize="5698,3651">
              <v:shape style="position:absolute;left:0;top:0;width:5698;height:3651" coordorigin="0,0" coordsize="5698,3651" path="m0,0l0,3651,3164,3651,5698,0,0,0e" filled="t" fillcolor="#F5821F" stroked="f">
                <v:path arrowok="t"/>
                <v:fill/>
              </v:shape>
            </v:group>
            <v:group style="position:absolute;left:2228;top:2996;width:936;height:655" coordorigin="2228,2996" coordsize="936,655">
              <v:shape style="position:absolute;left:2228;top:2996;width:936;height:655" coordorigin="2228,2996" coordsize="936,655" path="m3164,2996l2465,2996,2228,3233,2927,3233,2927,3651,3164,3651,3164,2996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692902pt;margin-top:21.951317pt;width:219.685pt;height:.1pt;mso-position-horizontal-relative:page;mso-position-vertical-relative:paragraph;z-index:-324" coordorigin="1134,439" coordsize="4394,2">
            <v:shape style="position:absolute;left:1134;top:439;width:4394;height:2" coordorigin="1134,439" coordsize="4394,0" path="m1134,439l5528,439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Context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positively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transformational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American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liquefied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5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6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already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underpinned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emergence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liquefied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recently,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America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shift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cushion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8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companies/Joint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1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frontier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diversification,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Realistic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73" w:lineRule="auto"/>
        <w:ind w:right="15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underpin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synthetic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(synfuel)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supplies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right="2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organisations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7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participating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Roundtable,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covering: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peak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74" w:lineRule="auto"/>
        <w:ind w:right="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representative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bodies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universities,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5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members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Appendix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3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hyperlink r:id="rId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Strategic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Priorities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and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Strategic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9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Plan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Targets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right="386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125pt;width:219.685pt;height:.1pt;mso-position-horizontal-relative:page;mso-position-vertical-relative:paragraph;z-index:-323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giant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field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trillion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cubic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feet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recoverable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(Giant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Fields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Decade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1990-2000: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Introduction,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Michel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right="188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Halbouty,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Company,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Houston,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TX.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AAPG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Search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Discovery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Article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#20005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(2001).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www.searchanddiscovery.com/documents/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1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halbouty03/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129pt;width:219.685pt;height:.1pt;mso-position-horizontal-relative:page;mso-position-vertical-relative:paragraph;z-index:-322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5th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800" w:left="1020" w:right="1040"/>
          <w:cols w:num="2" w:equalWidth="0">
            <w:col w:w="4486" w:space="872"/>
            <w:col w:w="4502"/>
          </w:cols>
        </w:sectPr>
      </w:pPr>
      <w:rPr/>
    </w:p>
    <w:p>
      <w:pPr>
        <w:spacing w:before="4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2.70133pt;width:219.685pt;height:.1pt;mso-position-horizontal-relative:page;mso-position-vertical-relative:paragraph;z-index:-321" coordorigin="1134,454" coordsize="4394,2">
            <v:shape style="position:absolute;left:1134;top:454;width:4394;height:2" coordorigin="1134,454" coordsize="4394,0" path="m1134,454l5528,454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Objectives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-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course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endowment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6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compatibility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0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perceived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feasible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47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prevailing: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tabs>
          <w:tab w:pos="90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(a)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914" w:right="-28" w:firstLine="-800"/>
        <w:jc w:val="left"/>
        <w:tabs>
          <w:tab w:pos="90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(b)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robust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precedents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914" w:right="69" w:firstLine="-800"/>
        <w:jc w:val="left"/>
        <w:tabs>
          <w:tab w:pos="90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(c)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views,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location-specific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(ALARP)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tasked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-2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clarify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(rewards)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threats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(risks)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someday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compatibly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co-exist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impede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welcomed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9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9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73" w:lineRule="auto"/>
        <w:ind w:right="1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sought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extension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submissions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August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second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September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extensions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input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plus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advice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Roundtable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Roadmap.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3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credibly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strategies;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policies;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perceptions.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welcomed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deployment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5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(syngas);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(synfuel).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4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Rhodri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Thomas,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analyst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Mackenzie,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57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“It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out,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clear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across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47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chain—gas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suppliers,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holders,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buyers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makers—need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42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understand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developments.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monitor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signposts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placed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benefit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89801pt;margin-top:22.179792pt;width:218.551pt;height:130.394pt;mso-position-horizontal-relative:page;mso-position-vertical-relative:paragraph;z-index:-320" coordorigin="6378,444" coordsize="4371,2608">
            <v:shape style="position:absolute;left:6378;top:444;width:4371;height:2608" coordorigin="6378,444" coordsize="4371,2608" path="m6378,3051l10749,3051,10749,444,6378,444,6378,3051e" filled="t" fillcolor="#FED5B2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revolution.”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ind w:left="306" w:right="442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Australia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has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99"/>
          <w:b/>
          <w:bCs/>
        </w:rPr>
        <w:t>certainly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99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moved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early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this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Roadmap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99"/>
          <w:b/>
          <w:bCs/>
        </w:rPr>
        <w:t>Projects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99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will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ensure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that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people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businesses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State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are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99"/>
          <w:b/>
          <w:bCs/>
        </w:rPr>
        <w:t>well-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99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positioned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understand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benefit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from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231F20"/>
          <w:spacing w:val="0"/>
          <w:w w:val="99"/>
          <w:b/>
          <w:bCs/>
        </w:rPr>
        <w:t>revolution.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610" w:top="1000" w:bottom="800" w:left="1020" w:right="1000"/>
          <w:pgSz w:w="11920" w:h="16840"/>
          <w:cols w:num="2" w:equalWidth="0">
            <w:col w:w="4476" w:space="882"/>
            <w:col w:w="4542"/>
          </w:cols>
        </w:sectPr>
      </w:pPr>
      <w:rPr/>
    </w:p>
    <w:p>
      <w:pPr>
        <w:spacing w:before="4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30.528015pt;margin-top:15.105515pt;width:49.374pt;height:34.547pt;mso-position-horizontal-relative:page;mso-position-vertical-relative:page;z-index:-319" coordorigin="10611,302" coordsize="987,691">
            <v:shape style="position:absolute;left:10611;top:302;width:987;height:691" coordorigin="10611,302" coordsize="987,691" path="m11598,302l10861,302,10611,553,11348,553,11348,993,11598,993,11598,302e" filled="t" fillcolor="#D1D3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692902pt;margin-top:22.70133pt;width:219.685pt;height:.1pt;mso-position-horizontal-relative:page;mso-position-vertical-relative:paragraph;z-index:-318" coordorigin="1134,454" coordsize="4394,2">
            <v:shape style="position:absolute;left:1134;top:454;width:4394;height:2" coordorigin="1134,454" coordsize="4394,0" path="m1134,454l5528,454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KEY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FINDINGS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Roadmap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Projects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Australia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774" w:right="218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Welcomed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simultaneously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681" w:right="-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amongst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astute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adhering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golden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golden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1" w:after="0" w:line="240" w:lineRule="auto"/>
        <w:ind w:left="6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disclose,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you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Isolate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against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leaks;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responsibly;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Eliminate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899" w:right="2869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flaring;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big;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934" w:right="58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Consistent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performance;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1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681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‘golden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114" w:right="374"/>
        <w:jc w:val="left"/>
        <w:tabs>
          <w:tab w:pos="4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317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1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www.worldenergyoutlook.org/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1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media/weowebsite/2012/goldenrules/WEO2012_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1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GoldenRulesReport.pdf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5" w:after="0" w:line="274" w:lineRule="auto"/>
        <w:ind w:left="380" w:right="442" w:firstLine="-380"/>
        <w:jc w:val="left"/>
        <w:tabs>
          <w:tab w:pos="3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exhaustive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alert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380" w:right="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3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December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3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380" w:right="306" w:firstLine="-380"/>
        <w:jc w:val="left"/>
        <w:tabs>
          <w:tab w:pos="3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adopt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380" w:right="263" w:firstLine="-380"/>
        <w:jc w:val="left"/>
        <w:tabs>
          <w:tab w:pos="3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twenty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380" w:right="132" w:firstLine="-380"/>
        <w:jc w:val="left"/>
        <w:tabs>
          <w:tab w:pos="3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already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Origin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380" w:right="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(especially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Senex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appraising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Elsewhere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recognised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Pedirka,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Eromanga,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Otway,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Simpson,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Gambier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380" w:right="16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Altona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CNOOC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Coal-to-Liquid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Bankable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Feasibility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Study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phase,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sampling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shortly.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610" w:header="0" w:top="1000" w:bottom="800" w:left="1020" w:right="1040"/>
          <w:footerReference w:type="odd" r:id="rId11"/>
          <w:footerReference w:type="even" r:id="rId12"/>
          <w:pgSz w:w="11920" w:h="16840"/>
          <w:cols w:num="2" w:equalWidth="0">
            <w:col w:w="4504" w:space="1134"/>
            <w:col w:w="4222"/>
          </w:cols>
        </w:sectPr>
      </w:pPr>
      <w:rPr/>
    </w:p>
    <w:p>
      <w:pPr>
        <w:spacing w:before="65" w:after="0" w:line="274" w:lineRule="auto"/>
        <w:ind w:left="774" w:right="517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left="7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Geoscience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(2012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left="774" w:right="-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Australia-wide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716,540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7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774" w:right="237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left="7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125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(raw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gas)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high-side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left="774" w:right="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corresponds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74" w:right="110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(2P)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51,000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774" w:right="1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2025.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tabs>
          <w:tab w:pos="4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316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tcf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roughly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equivalent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93,500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tabs>
          <w:tab w:pos="4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18pt;width:219.685pt;height:.1pt;mso-position-horizontal-relative:page;mso-position-vertical-relative:paragraph;z-index:-315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5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Hashimoto,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(Riko),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Stacey,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Bernecker,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left="114" w:right="-4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(2012)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Assessing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central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Presented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Roundtable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27th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1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www.misa.net.au/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u w:val="single" w:color="005395"/>
          </w:rPr>
          <w:t> 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28"/>
            <w:w w:val="100"/>
            <w:u w:val="single" w:color="005395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28"/>
            <w:w w:val="100"/>
          </w:rPr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data/assets/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1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pdf_file/0006/175317/CABS_2012_Unconventional_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1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hydrocarbon_resources_Hashimoto_et_al_120629.pdf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4" w:right="33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9pt;width:219.685pt;height:.1pt;mso-position-horizontal-relative:page;mso-position-vertical-relative:paragraph;z-index:-314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Santos’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equity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66.6%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60.1%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Queensland.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Hence,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estimate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recoverable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gross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terms,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tcf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left="114" w:right="57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tcf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(raw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gas).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Santos’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estimates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accessed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1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http://www.santos.com/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2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library/121112_EABU_Cooper_Basin_Unconventional_</w:t>
        </w:r>
      </w:hyperlink>
      <w:hyperlink r:id="rId2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Gas_Opportunities_and_Commercialisation.pdf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5" w:after="0" w:line="274" w:lineRule="auto"/>
        <w:ind w:left="380" w:right="281" w:firstLine="-380"/>
        <w:jc w:val="left"/>
        <w:tabs>
          <w:tab w:pos="3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richness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(contracted)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buyers.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380" w:right="158" w:firstLine="-3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settings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(resulting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independently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inputs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beget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380"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380" w:right="1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decades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settings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380" w:right="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up-to-date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(competence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full-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380" w:right="293" w:firstLine="-3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capture.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stop-shop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deploy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enforcement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380" w:right="1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simultaneously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step-change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diluting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effectiveness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380" w:right="217" w:firstLine="-3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13.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508" w:space="1130"/>
            <w:col w:w="4262"/>
          </w:cols>
        </w:sectPr>
      </w:pPr>
      <w:rPr/>
    </w:p>
    <w:p>
      <w:pPr>
        <w:spacing w:before="65" w:after="0" w:line="274" w:lineRule="auto"/>
        <w:ind w:left="774" w:right="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GJ.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profiles.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$6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774" w:right="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$7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double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bills,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flow-on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74" w:right="220" w:firstLine="-3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14.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demonstrably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774" w:right="80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774" w:right="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risk-taking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7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7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114" w:right="1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reveals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smooth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categories: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(41)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(21)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(18)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(17)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(17)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(16)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(16)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(8)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exact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Fiscal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(4)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5" w:after="0" w:line="274" w:lineRule="auto"/>
        <w:ind w:right="2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brackets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overlapping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said,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industry-government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partnerships.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scope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440" w:right="25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demonstrate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efficacy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15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bolstering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28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4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policy-makers.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51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efficiencies;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440" w:right="31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learning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curves.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000" w:bottom="280" w:left="1020" w:right="1000"/>
          <w:footerReference w:type="odd" r:id="rId22"/>
          <w:pgSz w:w="11920" w:h="16840"/>
          <w:cols w:num="2" w:equalWidth="0">
            <w:col w:w="4489" w:space="869"/>
            <w:col w:w="45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14" w:right="-20"/>
        <w:jc w:val="left"/>
        <w:tabs>
          <w:tab w:pos="116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.108994pt;width:480.756pt;height:.1pt;mso-position-horizontal-relative:page;mso-position-vertical-relative:paragraph;z-index:-313" coordorigin="1134,2" coordsize="9615,2">
            <v:shape style="position:absolute;left:1134;top:2;width:9615;height:2" coordorigin="1134,2" coordsize="9615,0" path="m1134,2l10749,2e" filled="f" stroked="t" strokeweight=".5pt" strokecolor="#007D65">
              <v:path arrowok="t"/>
            </v:shape>
          </v:group>
          <w10:wrap type="none"/>
        </w:pict>
      </w:r>
      <w:r>
        <w:rPr/>
        <w:pict>
          <v:group style="position:absolute;margin-left:318.720001pt;margin-top:-173.943298pt;width:220.04pt;height:153.96pt;mso-position-horizontal-relative:page;mso-position-vertical-relative:paragraph;z-index:-312" coordorigin="6374,-3479" coordsize="4401,3079">
            <v:shape style="position:absolute;left:6374;top:-3479;width:4401;height:3079" coordorigin="6374,-3479" coordsize="4401,3079" path="m10775,-3479l7490,-3479,6374,-2363,9659,-2363,9659,-400,10775,-400,10775,-3479e" filled="t" fillcolor="#CCE1DC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007D65"/>
          <w:b/>
          <w:bCs/>
        </w:rPr>
        <w:t>13</w:t>
        <w:tab/>
      </w:r>
      <w:r>
        <w:rPr>
          <w:rFonts w:ascii="Century Gothic" w:hAnsi="Century Gothic" w:cs="Century Gothic" w:eastAsia="Century Gothic"/>
          <w:sz w:val="20"/>
          <w:szCs w:val="20"/>
          <w:color w:val="007D65"/>
          <w:b/>
          <w:bCs/>
        </w:rPr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R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O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D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M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99"/>
          <w:b/>
          <w:bCs/>
        </w:rPr>
        <w:t>P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F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O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99"/>
          <w:b/>
          <w:bCs/>
        </w:rPr>
        <w:t>R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U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N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C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O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N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V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E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N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T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I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O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N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99"/>
          <w:b/>
          <w:bCs/>
        </w:rPr>
        <w:t>L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G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99"/>
          <w:b/>
          <w:bCs/>
        </w:rPr>
        <w:t>S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P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R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O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J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E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C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T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99"/>
          <w:b/>
          <w:bCs/>
        </w:rPr>
        <w:t>S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I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99"/>
          <w:b/>
          <w:bCs/>
        </w:rPr>
        <w:t>N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U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S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T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R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L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99"/>
          <w:b/>
          <w:bCs/>
        </w:rPr>
        <w:t>I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0"/>
          <w:w w:val="99"/>
          <w:b/>
          <w:bCs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007D65"/>
          <w:spacing w:val="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sectPr>
      <w:type w:val="continuous"/>
      <w:pgSz w:w="11920" w:h="16840"/>
      <w:pgMar w:top="1560" w:bottom="80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2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848328pt;margin-top:792.987183pt;width:7.600586pt;height:12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2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32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32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1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47681pt;margin-top:792.987183pt;width:13.201173pt;height:12pt;mso-position-horizontal-relative:page;mso-position-vertical-relative:page;z-index:-318" type="#_x0000_t202" filled="f" stroked="f">
          <v:textbox inset="0,0,0,0">
            <w:txbxContent>
              <w:p>
                <w:pPr>
                  <w:spacing w:before="0" w:after="0" w:line="228" w:lineRule="exact"/>
                  <w:ind w:left="20" w:right="-5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31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31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31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31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saplan.org.au/" TargetMode="External"/><Relationship Id="rId8" Type="http://schemas.openxmlformats.org/officeDocument/2006/relationships/hyperlink" Target="http://saplan.org.au/" TargetMode="External"/><Relationship Id="rId9" Type="http://schemas.openxmlformats.org/officeDocument/2006/relationships/hyperlink" Target="http://www.searchanddiscovery.com/documents/halbouty03/" TargetMode="External"/><Relationship Id="rId10" Type="http://schemas.openxmlformats.org/officeDocument/2006/relationships/hyperlink" Target="http://www.searchanddiscovery.com/documents/halbouty03/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http://www.worldenergyoutlook.org/media/weowebsite/2012/goldenrules/WEO2012_GoldenRulesReport.pdf" TargetMode="External"/><Relationship Id="rId14" Type="http://schemas.openxmlformats.org/officeDocument/2006/relationships/hyperlink" Target="http://www.worldenergyoutlook.org/media/weowebsite/2012/goldenrules/WEO2012_GoldenRulesReport.pdf" TargetMode="External"/><Relationship Id="rId15" Type="http://schemas.openxmlformats.org/officeDocument/2006/relationships/hyperlink" Target="http://www.worldenergyoutlook.org/media/weowebsite/2012/goldenrules/WEO2012_GoldenRulesReport.pdf" TargetMode="External"/><Relationship Id="rId16" Type="http://schemas.openxmlformats.org/officeDocument/2006/relationships/hyperlink" Target="http://www.misa.net.au/__data/assets/pdf_file/0006/175317/CABS_2012_Unconventional_hydrocarbon_resources_Hashimoto_et_al_120629.pdf" TargetMode="External"/><Relationship Id="rId17" Type="http://schemas.openxmlformats.org/officeDocument/2006/relationships/hyperlink" Target="http://www.misa.net.au/__data/assets/pdf_file/0006/175317/CABS_2012_Unconventional_hydrocarbon_resources_Hashimoto_et_al_120629.pdf" TargetMode="External"/><Relationship Id="rId18" Type="http://schemas.openxmlformats.org/officeDocument/2006/relationships/hyperlink" Target="http://www.misa.net.au/__data/assets/pdf_file/0006/175317/CABS_2012_Unconventional_hydrocarbon_resources_Hashimoto_et_al_120629.pdf" TargetMode="External"/><Relationship Id="rId19" Type="http://schemas.openxmlformats.org/officeDocument/2006/relationships/hyperlink" Target="http://www.santos.com/library/121112_EABU_Cooper_Basin_Unconventional_Gas_Opportunities_and_Commercialisation.pdf" TargetMode="External"/><Relationship Id="rId20" Type="http://schemas.openxmlformats.org/officeDocument/2006/relationships/hyperlink" Target="http://www.santos.com/library/121112_EABU_Cooper_Basin_Unconventional_Gas_Opportunities_and_Commercialisation.pdf" TargetMode="External"/><Relationship Id="rId21" Type="http://schemas.openxmlformats.org/officeDocument/2006/relationships/hyperlink" Target="http://www.santos.com/library/121112_EABU_Cooper_Basin_Unconventional_Gas_Opportunities_and_Commercialisation.pdf" TargetMode="External"/><Relationship Id="rId22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2015-12-21T09:56:06Z</dcterms:created>
  <dcterms:modified xsi:type="dcterms:W3CDTF">2015-12-21T09:56:06Z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